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14F" w:rsidRPr="00AF6F30" w:rsidRDefault="00A00EAF" w:rsidP="00AF6F3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UNIVERSIDADE</w:t>
      </w:r>
    </w:p>
    <w:p w:rsidR="00C3614F" w:rsidRP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C3614F" w:rsidRPr="00AF6F30" w:rsidRDefault="00A00EAF" w:rsidP="00AF6F3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NOME DO ALUNO</w:t>
      </w:r>
    </w:p>
    <w:p w:rsidR="00C3614F" w:rsidRP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C3614F" w:rsidRDefault="00C3614F" w:rsidP="00AF6F30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AF6F30" w:rsidRDefault="00AF6F30" w:rsidP="00AF6F30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AF6F30" w:rsidRPr="00AF6F30" w:rsidRDefault="00AF6F30" w:rsidP="00AF6F30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170C0F" w:rsidRPr="00AF6F30" w:rsidRDefault="002D515F" w:rsidP="00AF6F30">
      <w:pPr>
        <w:spacing w:line="360" w:lineRule="auto"/>
        <w:jc w:val="center"/>
        <w:rPr>
          <w:rFonts w:ascii="Times New Roman" w:hAnsi="Times New Roman" w:cs="Times New Roman"/>
          <w:b/>
          <w:caps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b/>
          <w:caps/>
          <w:color w:val="000000" w:themeColor="text1"/>
          <w:szCs w:val="24"/>
        </w:rPr>
        <w:t>Relações internacionais no tocante à</w:t>
      </w:r>
      <w:r w:rsidR="005A31C2" w:rsidRPr="00AF6F30">
        <w:rPr>
          <w:rFonts w:ascii="Times New Roman" w:hAnsi="Times New Roman" w:cs="Times New Roman"/>
          <w:b/>
          <w:caps/>
          <w:color w:val="000000" w:themeColor="text1"/>
          <w:szCs w:val="24"/>
        </w:rPr>
        <w:t xml:space="preserve"> mutilação </w:t>
      </w:r>
      <w:r w:rsidR="007D0336" w:rsidRPr="00AF6F30">
        <w:rPr>
          <w:rFonts w:ascii="Times New Roman" w:hAnsi="Times New Roman" w:cs="Times New Roman"/>
          <w:b/>
          <w:caps/>
          <w:color w:val="000000" w:themeColor="text1"/>
          <w:szCs w:val="24"/>
        </w:rPr>
        <w:t>dE mulheres</w:t>
      </w:r>
    </w:p>
    <w:p w:rsidR="00C3614F" w:rsidRPr="00AF6F30" w:rsidRDefault="00C3614F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4"/>
        </w:rPr>
      </w:pPr>
    </w:p>
    <w:p w:rsidR="00C3614F" w:rsidRP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4"/>
        </w:rPr>
      </w:pPr>
    </w:p>
    <w:p w:rsidR="00C3614F" w:rsidRPr="00AF6F30" w:rsidRDefault="00A00EAF" w:rsidP="00AF6F3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CIDADE/ESTADO</w:t>
      </w:r>
    </w:p>
    <w:p w:rsidR="00AF6F30" w:rsidRDefault="00C3614F" w:rsidP="00AF6F3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2021</w:t>
      </w:r>
    </w:p>
    <w:p w:rsidR="00C3614F" w:rsidRPr="00AF6F30" w:rsidRDefault="00A00EAF" w:rsidP="00AF6F30">
      <w:pPr>
        <w:spacing w:after="160" w:line="259" w:lineRule="auto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b/>
          <w:color w:val="000000" w:themeColor="text1"/>
          <w:szCs w:val="24"/>
        </w:rPr>
        <w:lastRenderedPageBreak/>
        <w:t>RESUMO</w:t>
      </w:r>
    </w:p>
    <w:p w:rsidR="00C3614F" w:rsidRPr="00AF6F30" w:rsidRDefault="00C3614F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3B7881" w:rsidRPr="00AF6F30" w:rsidRDefault="003B7881" w:rsidP="00AF6F30">
      <w:pPr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A mutilação genital feminina ocorre principalmente em países do continente Africano e no Oriente Médio. Sabe-se que mais de 200 mil mulheres já passaram pelo procedimento de mutilação com a retirada do clitóris e outras técnicas de mutilação caracterizadoras por ser um ritual familiar de cunho religioso e cultural. No entanto, sabe-se que muitas dessas mulheres e crianças não optaram pela realização do procedimento que pode ter consequências graves a curto e longo prazo, principalmente pelas técnicas rudimentares empregadas. Mesmo com a defesa e garantia de direitos internacionais culturais de cada país, é evidente que a prática vai contra os direitos humanos de integridade física. Alguns países têm recebido mulheres refugiadas que solicitam o refúgio baseado na perseguição devido o gênero, ou seja, pelo simples fato de serem mulheres. O fator de imigração tem levado alguns profissionais da saúde e médicos a praticarem a tanto a circuncisão feminina quanto a masculina em ambiente hospitalar com o objetivo de diminuir as consequências de uma circuncisão sem assepsia e por não médicos. A comunidade internacional e as próprias vítimas vêm buscando a erradicação da mutilação genital feminina, alcançando alguns avanços nesse sentido em alguns países. A proteção pelo direito à escolha, pelo direito a integridade mental e corporal é um</w:t>
      </w:r>
      <w:r w:rsidR="004876D8" w:rsidRPr="00AF6F30">
        <w:rPr>
          <w:rFonts w:ascii="Times New Roman" w:hAnsi="Times New Roman" w:cs="Times New Roman"/>
          <w:color w:val="000000" w:themeColor="text1"/>
          <w:szCs w:val="24"/>
        </w:rPr>
        <w:t xml:space="preserve"> evento social, onde todos devem agir juntos para que a erradicação dessa prática seja </w:t>
      </w:r>
      <w:r w:rsidR="00AF6F30" w:rsidRPr="00AF6F30">
        <w:rPr>
          <w:rFonts w:ascii="Times New Roman" w:hAnsi="Times New Roman" w:cs="Times New Roman"/>
          <w:color w:val="000000" w:themeColor="text1"/>
          <w:szCs w:val="24"/>
        </w:rPr>
        <w:t>em longo prazo</w:t>
      </w:r>
      <w:r w:rsidR="004876D8" w:rsidRPr="00AF6F30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AF6F30" w:rsidRPr="00AF6F30" w:rsidRDefault="00AF6F30" w:rsidP="00AF6F30">
      <w:pPr>
        <w:spacing w:line="360" w:lineRule="auto"/>
        <w:rPr>
          <w:rFonts w:ascii="Times New Roman" w:hAnsi="Times New Roman" w:cs="Times New Roman"/>
          <w:color w:val="000000" w:themeColor="text1"/>
          <w:szCs w:val="24"/>
        </w:rPr>
      </w:pPr>
    </w:p>
    <w:p w:rsidR="003B7881" w:rsidRPr="00AF6F30" w:rsidRDefault="00AF6F30" w:rsidP="00AF6F30">
      <w:pPr>
        <w:spacing w:line="36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Palavras-chave: mutilação feminina; relações internacionais; direitos humanos; refúgio e erradicação.</w:t>
      </w:r>
    </w:p>
    <w:p w:rsidR="004876D8" w:rsidRPr="00AF6F30" w:rsidRDefault="004876D8" w:rsidP="00AF6F30">
      <w:pPr>
        <w:spacing w:line="259" w:lineRule="auto"/>
        <w:rPr>
          <w:rFonts w:ascii="Times New Roman" w:eastAsiaTheme="minorHAnsi" w:hAnsi="Times New Roman" w:cs="Times New Roman"/>
          <w:b/>
          <w:color w:val="000000" w:themeColor="text1"/>
          <w:szCs w:val="24"/>
          <w:highlight w:val="lightGray"/>
          <w:lang w:eastAsia="en-US"/>
        </w:rPr>
      </w:pPr>
      <w:r w:rsidRPr="00AF6F30">
        <w:rPr>
          <w:rFonts w:ascii="Times New Roman" w:eastAsiaTheme="minorHAnsi" w:hAnsi="Times New Roman" w:cs="Times New Roman"/>
          <w:b/>
          <w:color w:val="000000" w:themeColor="text1"/>
          <w:szCs w:val="24"/>
          <w:highlight w:val="lightGray"/>
          <w:lang w:eastAsia="en-US"/>
        </w:rPr>
        <w:br w:type="page"/>
      </w:r>
    </w:p>
    <w:p w:rsidR="00C3614F" w:rsidRPr="00AF6F30" w:rsidRDefault="00C3614F" w:rsidP="00AF6F30">
      <w:pPr>
        <w:pStyle w:val="PargrafodaLista"/>
        <w:numPr>
          <w:ilvl w:val="0"/>
          <w:numId w:val="9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lastRenderedPageBreak/>
        <w:t>INTRODUÇÃO</w:t>
      </w:r>
    </w:p>
    <w:p w:rsidR="00C3614F" w:rsidRPr="00AF6F30" w:rsidRDefault="00C3614F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C943FB" w:rsidRPr="00AF6F30" w:rsidRDefault="00A00EAF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Sabemos que </w:t>
      </w:r>
      <w:r w:rsidR="00636F0C" w:rsidRPr="00AF6F30">
        <w:rPr>
          <w:rFonts w:ascii="Times New Roman" w:hAnsi="Times New Roman" w:cs="Times New Roman"/>
          <w:color w:val="000000" w:themeColor="text1"/>
          <w:szCs w:val="24"/>
        </w:rPr>
        <w:t>as relações internacionais</w:t>
      </w:r>
      <w:r w:rsidR="001A21C9" w:rsidRPr="00AF6F30">
        <w:rPr>
          <w:rFonts w:ascii="Times New Roman" w:hAnsi="Times New Roman" w:cs="Times New Roman"/>
          <w:color w:val="000000" w:themeColor="text1"/>
          <w:szCs w:val="24"/>
        </w:rPr>
        <w:t xml:space="preserve"> visam </w:t>
      </w:r>
      <w:r w:rsidR="00D33E46" w:rsidRPr="00AF6F30">
        <w:rPr>
          <w:rFonts w:ascii="Times New Roman" w:hAnsi="Times New Roman" w:cs="Times New Roman"/>
          <w:color w:val="000000" w:themeColor="text1"/>
          <w:szCs w:val="24"/>
        </w:rPr>
        <w:t>à</w:t>
      </w:r>
      <w:r w:rsidR="001A21C9" w:rsidRPr="00AF6F30">
        <w:rPr>
          <w:rFonts w:ascii="Times New Roman" w:hAnsi="Times New Roman" w:cs="Times New Roman"/>
          <w:color w:val="000000" w:themeColor="text1"/>
          <w:szCs w:val="24"/>
        </w:rPr>
        <w:t xml:space="preserve"> compreensão</w:t>
      </w:r>
      <w:r w:rsidR="00D33E46" w:rsidRPr="00AF6F30">
        <w:rPr>
          <w:rFonts w:ascii="Times New Roman" w:hAnsi="Times New Roman" w:cs="Times New Roman"/>
          <w:color w:val="000000" w:themeColor="text1"/>
          <w:szCs w:val="24"/>
        </w:rPr>
        <w:t xml:space="preserve"> das relações entre países, povos no que diz respeito as suas dinâmicas, culturas, circunstâncias políticas, sociais e econômicas.</w:t>
      </w:r>
    </w:p>
    <w:p w:rsidR="00C943FB" w:rsidRPr="00AF6F30" w:rsidRDefault="00D33E46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As relações internacionais nasceram na época da Guerra Fria e desenvolveu-se após a década de 1970. (</w:t>
      </w:r>
      <w:r w:rsidR="0033023D" w:rsidRPr="00AF6F30">
        <w:rPr>
          <w:rFonts w:ascii="Times New Roman" w:hAnsi="Times New Roman" w:cs="Times New Roman"/>
          <w:color w:val="000000" w:themeColor="text1"/>
          <w:szCs w:val="24"/>
        </w:rPr>
        <w:t>CASTRO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>,</w:t>
      </w:r>
      <w:r w:rsidR="00513BD3" w:rsidRPr="00AF6F30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>20</w:t>
      </w:r>
      <w:r w:rsidR="0033023D" w:rsidRPr="00AF6F30">
        <w:rPr>
          <w:rFonts w:ascii="Times New Roman" w:hAnsi="Times New Roman" w:cs="Times New Roman"/>
          <w:color w:val="000000" w:themeColor="text1"/>
          <w:szCs w:val="24"/>
        </w:rPr>
        <w:t>12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). </w:t>
      </w:r>
      <w:r w:rsidR="00D7138E" w:rsidRPr="00AF6F30">
        <w:rPr>
          <w:rFonts w:ascii="Times New Roman" w:hAnsi="Times New Roman" w:cs="Times New Roman"/>
          <w:color w:val="000000" w:themeColor="text1"/>
          <w:szCs w:val="24"/>
        </w:rPr>
        <w:t>Ocorreram muitas evoluções e com isso consequentemente as relações internacionais se tornaram mais complexas.</w:t>
      </w:r>
    </w:p>
    <w:p w:rsidR="00C943FB" w:rsidRPr="00AF6F30" w:rsidRDefault="00D7138E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Conforme </w:t>
      </w:r>
      <w:r w:rsidR="0033023D" w:rsidRPr="00AF6F30">
        <w:rPr>
          <w:rFonts w:ascii="Times New Roman" w:hAnsi="Times New Roman" w:cs="Times New Roman"/>
          <w:color w:val="000000" w:themeColor="text1"/>
          <w:szCs w:val="24"/>
        </w:rPr>
        <w:t>C</w:t>
      </w:r>
      <w:r w:rsidR="003D3533" w:rsidRPr="00AF6F30">
        <w:rPr>
          <w:rFonts w:ascii="Times New Roman" w:hAnsi="Times New Roman" w:cs="Times New Roman"/>
          <w:color w:val="000000" w:themeColor="text1"/>
          <w:szCs w:val="24"/>
        </w:rPr>
        <w:t>astro</w:t>
      </w:r>
      <w:r w:rsidR="00F37B46" w:rsidRPr="00AF6F30">
        <w:rPr>
          <w:rFonts w:ascii="Times New Roman" w:hAnsi="Times New Roman" w:cs="Times New Roman"/>
          <w:color w:val="000000" w:themeColor="text1"/>
          <w:szCs w:val="24"/>
        </w:rPr>
        <w:t xml:space="preserve"> (</w:t>
      </w:r>
      <w:r w:rsidR="0033023D" w:rsidRPr="00AF6F30">
        <w:rPr>
          <w:rFonts w:ascii="Times New Roman" w:hAnsi="Times New Roman" w:cs="Times New Roman"/>
          <w:color w:val="000000" w:themeColor="text1"/>
          <w:szCs w:val="24"/>
        </w:rPr>
        <w:t>2012</w:t>
      </w:r>
      <w:r w:rsidR="00F37B46" w:rsidRPr="00AF6F30">
        <w:rPr>
          <w:rFonts w:ascii="Times New Roman" w:hAnsi="Times New Roman" w:cs="Times New Roman"/>
          <w:color w:val="000000" w:themeColor="text1"/>
          <w:szCs w:val="24"/>
        </w:rPr>
        <w:t>)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, os assuntos que </w:t>
      </w:r>
      <w:r w:rsidR="00F37B46" w:rsidRPr="00AF6F30">
        <w:rPr>
          <w:rFonts w:ascii="Times New Roman" w:hAnsi="Times New Roman" w:cs="Times New Roman"/>
          <w:color w:val="000000" w:themeColor="text1"/>
          <w:szCs w:val="24"/>
        </w:rPr>
        <w:t>são de interesse das relações internacionais atuais abrangem a estrutura do sistema internacional; fatores condicionantes da política exterior; condições básicas para paz; os conflitos e as crises; os processos de integração regional e as organizações internacionais.</w:t>
      </w:r>
    </w:p>
    <w:p w:rsidR="00C943FB" w:rsidRPr="00AF6F30" w:rsidRDefault="0000049A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Outra característica citada por </w:t>
      </w:r>
      <w:proofErr w:type="spellStart"/>
      <w:r w:rsidRPr="00AF6F30">
        <w:rPr>
          <w:rFonts w:ascii="Times New Roman" w:hAnsi="Times New Roman" w:cs="Times New Roman"/>
          <w:color w:val="000000" w:themeColor="text1"/>
          <w:szCs w:val="24"/>
        </w:rPr>
        <w:t>Cepik</w:t>
      </w:r>
      <w:proofErr w:type="spellEnd"/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 (2018) refere-se aos relacionamentos formais e informais, regulares ou esporádicos que os Estados desenvolvem entre si por meio da diplomacia.</w:t>
      </w:r>
    </w:p>
    <w:p w:rsidR="00C943FB" w:rsidRPr="00AF6F30" w:rsidRDefault="0000049A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265452" w:rsidRPr="00AF6F30">
        <w:rPr>
          <w:rFonts w:ascii="Times New Roman" w:hAnsi="Times New Roman" w:cs="Times New Roman"/>
          <w:color w:val="000000" w:themeColor="text1"/>
          <w:szCs w:val="24"/>
        </w:rPr>
        <w:t xml:space="preserve">No âmbito da Geopolítica, as relações internacionais podem </w:t>
      </w:r>
      <w:r w:rsidR="000F0B79" w:rsidRPr="00AF6F30">
        <w:rPr>
          <w:rFonts w:ascii="Times New Roman" w:hAnsi="Times New Roman" w:cs="Times New Roman"/>
          <w:color w:val="000000" w:themeColor="text1"/>
          <w:szCs w:val="24"/>
        </w:rPr>
        <w:t>ter alguns obstáculos</w:t>
      </w:r>
      <w:r w:rsidR="00265452" w:rsidRPr="00AF6F30">
        <w:rPr>
          <w:rFonts w:ascii="Times New Roman" w:hAnsi="Times New Roman" w:cs="Times New Roman"/>
          <w:color w:val="000000" w:themeColor="text1"/>
          <w:szCs w:val="24"/>
        </w:rPr>
        <w:t>, dentre el</w:t>
      </w:r>
      <w:r w:rsidR="000F0B79" w:rsidRPr="00AF6F30">
        <w:rPr>
          <w:rFonts w:ascii="Times New Roman" w:hAnsi="Times New Roman" w:cs="Times New Roman"/>
          <w:color w:val="000000" w:themeColor="text1"/>
          <w:szCs w:val="24"/>
        </w:rPr>
        <w:t>es, o</w:t>
      </w:r>
      <w:r w:rsidR="00265452" w:rsidRPr="00AF6F30">
        <w:rPr>
          <w:rFonts w:ascii="Times New Roman" w:hAnsi="Times New Roman" w:cs="Times New Roman"/>
          <w:color w:val="000000" w:themeColor="text1"/>
          <w:szCs w:val="24"/>
        </w:rPr>
        <w:t xml:space="preserve">s culturais. </w:t>
      </w:r>
      <w:r w:rsidR="00C943FB" w:rsidRPr="00AF6F30">
        <w:rPr>
          <w:rFonts w:ascii="Times New Roman" w:hAnsi="Times New Roman" w:cs="Times New Roman"/>
          <w:color w:val="000000" w:themeColor="text1"/>
          <w:szCs w:val="24"/>
        </w:rPr>
        <w:t>Uma barreira delas é o debate sobre a legalidade da mutilação feminina.</w:t>
      </w:r>
    </w:p>
    <w:p w:rsidR="000F0B79" w:rsidRPr="00AF6F30" w:rsidRDefault="000F0B79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A mutilação genital feminina é uma prática comum em diversos países da África e no Oriente Médio. Essa p</w:t>
      </w:r>
      <w:r w:rsidR="000D7025" w:rsidRPr="00AF6F30">
        <w:rPr>
          <w:rFonts w:ascii="Times New Roman" w:hAnsi="Times New Roman" w:cs="Times New Roman"/>
          <w:color w:val="000000" w:themeColor="text1"/>
          <w:szCs w:val="24"/>
        </w:rPr>
        <w:t>rática dolorosa é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0D7025" w:rsidRPr="00AF6F30">
        <w:rPr>
          <w:rFonts w:ascii="Times New Roman" w:hAnsi="Times New Roman" w:cs="Times New Roman"/>
          <w:color w:val="000000" w:themeColor="text1"/>
          <w:szCs w:val="24"/>
        </w:rPr>
        <w:t>muitas vezes, feita contra a vontade das mulheres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0D7025" w:rsidRPr="00AF6F30">
        <w:rPr>
          <w:rFonts w:ascii="Times New Roman" w:hAnsi="Times New Roman" w:cs="Times New Roman"/>
          <w:color w:val="000000" w:themeColor="text1"/>
          <w:szCs w:val="24"/>
        </w:rPr>
        <w:t>violando a integridade física destas.</w:t>
      </w:r>
    </w:p>
    <w:p w:rsidR="000F0B79" w:rsidRPr="00AF6F30" w:rsidRDefault="000F0B79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O objetivo deste trabalho é analisar e buscar referências teóricas para embasar o fato que, as mulheres seguem invisíveis </w:t>
      </w:r>
      <w:r w:rsidR="000D7025" w:rsidRPr="00AF6F30">
        <w:rPr>
          <w:rFonts w:ascii="Times New Roman" w:hAnsi="Times New Roman" w:cs="Times New Roman"/>
          <w:color w:val="000000" w:themeColor="text1"/>
          <w:szCs w:val="24"/>
        </w:rPr>
        <w:t>perante a sociedade, até onde os direitos culturais se sobressaem aos direitos do ser humano.</w:t>
      </w:r>
    </w:p>
    <w:p w:rsidR="000D7025" w:rsidRPr="00AF6F30" w:rsidRDefault="000D7025" w:rsidP="00AF6F30">
      <w:pPr>
        <w:spacing w:line="36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br w:type="page"/>
      </w:r>
    </w:p>
    <w:p w:rsidR="000D7025" w:rsidRPr="00AF6F30" w:rsidRDefault="003D3533" w:rsidP="00AF6F30">
      <w:pPr>
        <w:pStyle w:val="PargrafodaLista"/>
        <w:numPr>
          <w:ilvl w:val="0"/>
          <w:numId w:val="9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lastRenderedPageBreak/>
        <w:t>REVISÃO DE LITERATURA</w:t>
      </w:r>
    </w:p>
    <w:p w:rsidR="003D3533" w:rsidRPr="00AF6F30" w:rsidRDefault="003D3533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3D3533" w:rsidRPr="00AF6F30" w:rsidRDefault="00094031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A abordagem contemporânea das relações internacionais </w:t>
      </w:r>
      <w:r w:rsidR="00B2091B" w:rsidRPr="00AF6F30">
        <w:rPr>
          <w:rFonts w:ascii="Times New Roman" w:hAnsi="Times New Roman" w:cs="Times New Roman"/>
          <w:color w:val="000000" w:themeColor="text1"/>
          <w:szCs w:val="24"/>
        </w:rPr>
        <w:t xml:space="preserve">visa manter uma harmonia nas relações entre os diferentes países do mundo. </w:t>
      </w:r>
      <w:r w:rsidR="006E228C" w:rsidRPr="00AF6F30">
        <w:rPr>
          <w:rFonts w:ascii="Times New Roman" w:hAnsi="Times New Roman" w:cs="Times New Roman"/>
          <w:color w:val="000000" w:themeColor="text1"/>
          <w:szCs w:val="24"/>
        </w:rPr>
        <w:t>A contenção de crises econômicas que podem ter impacto mundial e a manutenção da paz segue sendo o foco principal.</w:t>
      </w:r>
    </w:p>
    <w:p w:rsidR="006E228C" w:rsidRPr="00AF6F30" w:rsidRDefault="00C3634F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É importante, antes de adentrarmos no tema do presente trabalho, apresentar um breve histórico das relações internacionais.</w:t>
      </w:r>
    </w:p>
    <w:p w:rsidR="00C3634F" w:rsidRPr="00AF6F30" w:rsidRDefault="00C3634F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AF6F30" w:rsidRDefault="00AF6F30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C3634F" w:rsidRPr="00AF6F30" w:rsidRDefault="00C3634F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proofErr w:type="gramStart"/>
      <w:r w:rsidRPr="00AF6F30">
        <w:rPr>
          <w:rFonts w:ascii="Times New Roman" w:hAnsi="Times New Roman" w:cs="Times New Roman"/>
          <w:color w:val="000000" w:themeColor="text1"/>
          <w:szCs w:val="24"/>
        </w:rPr>
        <w:t>2.1 ORIGEM</w:t>
      </w:r>
      <w:proofErr w:type="gramEnd"/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 DAS RELAÇÕES INTERNACIONAIS</w:t>
      </w:r>
    </w:p>
    <w:p w:rsidR="00C3634F" w:rsidRPr="00AF6F30" w:rsidRDefault="00C3634F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C3634F" w:rsidRPr="00AF6F30" w:rsidRDefault="00C943FB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As teorias das Relações Internacionais </w:t>
      </w:r>
      <w:r w:rsidR="00EA1956" w:rsidRPr="00AF6F30">
        <w:rPr>
          <w:rFonts w:ascii="Times New Roman" w:hAnsi="Times New Roman" w:cs="Times New Roman"/>
          <w:color w:val="000000" w:themeColor="text1"/>
          <w:szCs w:val="24"/>
        </w:rPr>
        <w:t>utilizam como base argumentativa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 literaturas </w:t>
      </w:r>
      <w:r w:rsidR="00EA1956" w:rsidRPr="00AF6F30">
        <w:rPr>
          <w:rFonts w:ascii="Times New Roman" w:hAnsi="Times New Roman" w:cs="Times New Roman"/>
          <w:color w:val="000000" w:themeColor="text1"/>
          <w:szCs w:val="24"/>
        </w:rPr>
        <w:t xml:space="preserve">como 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de Nicolau Maquiavel, Thomas </w:t>
      </w:r>
      <w:proofErr w:type="spellStart"/>
      <w:r w:rsidRPr="00AF6F30">
        <w:rPr>
          <w:rFonts w:ascii="Times New Roman" w:hAnsi="Times New Roman" w:cs="Times New Roman"/>
          <w:color w:val="000000" w:themeColor="text1"/>
          <w:szCs w:val="24"/>
        </w:rPr>
        <w:t>Robbes</w:t>
      </w:r>
      <w:proofErr w:type="spellEnd"/>
      <w:r w:rsidRPr="00AF6F30">
        <w:rPr>
          <w:rFonts w:ascii="Times New Roman" w:hAnsi="Times New Roman" w:cs="Times New Roman"/>
          <w:color w:val="000000" w:themeColor="text1"/>
          <w:szCs w:val="24"/>
        </w:rPr>
        <w:t>, John Locke, Montesquieu e Jean-Jacques Rousseau.</w:t>
      </w:r>
      <w:r w:rsidR="00EA1956" w:rsidRPr="00AF6F30">
        <w:rPr>
          <w:rFonts w:ascii="Times New Roman" w:hAnsi="Times New Roman" w:cs="Times New Roman"/>
          <w:color w:val="000000" w:themeColor="text1"/>
          <w:szCs w:val="24"/>
        </w:rPr>
        <w:t xml:space="preserve"> (JUBRAN, 2015).</w:t>
      </w:r>
    </w:p>
    <w:p w:rsidR="00EA1956" w:rsidRPr="00AF6F30" w:rsidRDefault="00EA1956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A origem das Relações Internacionais se deu posteriormente a Primeira Guerra Mundial.</w:t>
      </w:r>
      <w:r w:rsidR="008E1D69" w:rsidRPr="00AF6F30">
        <w:rPr>
          <w:rFonts w:ascii="Times New Roman" w:hAnsi="Times New Roman" w:cs="Times New Roman"/>
          <w:color w:val="000000" w:themeColor="text1"/>
          <w:szCs w:val="24"/>
        </w:rPr>
        <w:t xml:space="preserve"> A conservação e ampliação do poder dos Estados</w:t>
      </w:r>
      <w:r w:rsidR="00907CDD" w:rsidRPr="00AF6F30">
        <w:rPr>
          <w:rFonts w:ascii="Times New Roman" w:hAnsi="Times New Roman" w:cs="Times New Roman"/>
          <w:color w:val="000000" w:themeColor="text1"/>
          <w:szCs w:val="24"/>
        </w:rPr>
        <w:t xml:space="preserve"> eram o </w:t>
      </w:r>
      <w:r w:rsidR="00103104" w:rsidRPr="00AF6F30">
        <w:rPr>
          <w:rFonts w:ascii="Times New Roman" w:hAnsi="Times New Roman" w:cs="Times New Roman"/>
          <w:color w:val="000000" w:themeColor="text1"/>
          <w:szCs w:val="24"/>
        </w:rPr>
        <w:t>motivo</w:t>
      </w:r>
      <w:r w:rsidR="00907CDD" w:rsidRPr="00AF6F30">
        <w:rPr>
          <w:rFonts w:ascii="Times New Roman" w:hAnsi="Times New Roman" w:cs="Times New Roman"/>
          <w:color w:val="000000" w:themeColor="text1"/>
          <w:szCs w:val="24"/>
        </w:rPr>
        <w:t xml:space="preserve"> principal de se buscar estratégias</w:t>
      </w:r>
      <w:r w:rsidR="00103104" w:rsidRPr="00AF6F30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FE69C5" w:rsidRPr="00AF6F30" w:rsidRDefault="00CD6E4B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Vasile (2007</w:t>
      </w:r>
      <w:r w:rsidR="00FE69C5" w:rsidRPr="00AF6F30">
        <w:rPr>
          <w:rFonts w:ascii="Times New Roman" w:hAnsi="Times New Roman" w:cs="Times New Roman"/>
          <w:color w:val="000000" w:themeColor="text1"/>
          <w:szCs w:val="24"/>
        </w:rPr>
        <w:t>)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 destaca</w:t>
      </w:r>
      <w:r w:rsidR="00FE69C5" w:rsidRPr="00AF6F30">
        <w:rPr>
          <w:rFonts w:ascii="Times New Roman" w:hAnsi="Times New Roman" w:cs="Times New Roman"/>
          <w:color w:val="000000" w:themeColor="text1"/>
          <w:szCs w:val="24"/>
        </w:rPr>
        <w:t xml:space="preserve"> que</w:t>
      </w:r>
      <w:r>
        <w:rPr>
          <w:rFonts w:ascii="Times New Roman" w:hAnsi="Times New Roman" w:cs="Times New Roman"/>
          <w:color w:val="000000" w:themeColor="text1"/>
          <w:szCs w:val="24"/>
        </w:rPr>
        <w:t>,</w:t>
      </w:r>
      <w:r w:rsidR="00FE69C5" w:rsidRPr="00AF6F30">
        <w:rPr>
          <w:rFonts w:ascii="Times New Roman" w:hAnsi="Times New Roman" w:cs="Times New Roman"/>
          <w:color w:val="000000" w:themeColor="text1"/>
          <w:szCs w:val="24"/>
        </w:rPr>
        <w:t xml:space="preserve"> um dado relevante para a evolução das relações internacionais emana da percepção de que a supremacia economicista e </w:t>
      </w:r>
      <w:proofErr w:type="spellStart"/>
      <w:r w:rsidR="00FE69C5" w:rsidRPr="00AF6F30">
        <w:rPr>
          <w:rFonts w:ascii="Times New Roman" w:hAnsi="Times New Roman" w:cs="Times New Roman"/>
          <w:color w:val="000000" w:themeColor="text1"/>
          <w:szCs w:val="24"/>
        </w:rPr>
        <w:t>politológica</w:t>
      </w:r>
      <w:proofErr w:type="spellEnd"/>
      <w:r w:rsidR="00FE69C5" w:rsidRPr="00AF6F30">
        <w:rPr>
          <w:rFonts w:ascii="Times New Roman" w:hAnsi="Times New Roman" w:cs="Times New Roman"/>
          <w:color w:val="000000" w:themeColor="text1"/>
          <w:szCs w:val="24"/>
        </w:rPr>
        <w:t xml:space="preserve"> no estudo das relações internacionais 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>são declinantes</w:t>
      </w:r>
      <w:r w:rsidR="00FE69C5" w:rsidRPr="00AF6F30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FE69C5" w:rsidRPr="00AF6F30" w:rsidRDefault="00FE69C5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Nos Congressos da Associação Internacional de Ciências Históricas (Sidney, 2005 e Oslo, 2000), temas como multiculturalismo, impacto da formação de grandes blocos econômicos nos tempos da globalização, ordem e segurança internacional foram os temas debatidos. (VASILE, </w:t>
      </w:r>
      <w:r w:rsidR="00CD6E4B">
        <w:rPr>
          <w:rFonts w:ascii="Times New Roman" w:hAnsi="Times New Roman" w:cs="Times New Roman"/>
          <w:color w:val="000000" w:themeColor="text1"/>
          <w:szCs w:val="24"/>
        </w:rPr>
        <w:t>2007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>).</w:t>
      </w:r>
    </w:p>
    <w:p w:rsidR="00FE69C5" w:rsidRPr="00AF6F30" w:rsidRDefault="00FE69C5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88745F" w:rsidRPr="00AF6F30" w:rsidRDefault="004E7593" w:rsidP="00AF6F30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b/>
          <w:color w:val="000000" w:themeColor="text1"/>
          <w:szCs w:val="24"/>
        </w:rPr>
        <w:t>2.1.1</w:t>
      </w:r>
      <w:r w:rsidR="0088745F" w:rsidRPr="00AF6F30">
        <w:rPr>
          <w:rFonts w:ascii="Times New Roman" w:hAnsi="Times New Roman" w:cs="Times New Roman"/>
          <w:b/>
          <w:color w:val="000000" w:themeColor="text1"/>
          <w:szCs w:val="24"/>
        </w:rPr>
        <w:t xml:space="preserve"> O multiculturalismo na relação das relações internacionais</w:t>
      </w:r>
    </w:p>
    <w:p w:rsidR="0088745F" w:rsidRPr="00AF6F30" w:rsidRDefault="0088745F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58068C" w:rsidRPr="00AF6F30" w:rsidRDefault="0058068C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No multiculturalismo diferentes culturas e tradições convivem em um mesmo local, país, região ou local. (REIS, </w:t>
      </w:r>
      <w:r w:rsidR="00DC69B4">
        <w:rPr>
          <w:rFonts w:ascii="Times New Roman" w:hAnsi="Times New Roman" w:cs="Times New Roman"/>
          <w:color w:val="000000" w:themeColor="text1"/>
          <w:szCs w:val="24"/>
        </w:rPr>
        <w:t>2004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>)</w:t>
      </w:r>
    </w:p>
    <w:p w:rsidR="0058068C" w:rsidRPr="00AF6F30" w:rsidRDefault="00E04B7E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Para Reis (</w:t>
      </w:r>
      <w:r w:rsidR="00DC69B4">
        <w:rPr>
          <w:rFonts w:ascii="Times New Roman" w:hAnsi="Times New Roman" w:cs="Times New Roman"/>
          <w:color w:val="000000" w:themeColor="text1"/>
          <w:szCs w:val="24"/>
        </w:rPr>
        <w:t>2004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>), a defesa dos direitos humanos universais é compatível com o multiculturalismo universalista, mas a conciliação com qualquer prática no mundo</w:t>
      </w:r>
      <w:r w:rsidR="00CE5AEA" w:rsidRPr="00AF6F30">
        <w:rPr>
          <w:rFonts w:ascii="Times New Roman" w:hAnsi="Times New Roman" w:cs="Times New Roman"/>
          <w:color w:val="000000" w:themeColor="text1"/>
          <w:szCs w:val="24"/>
        </w:rPr>
        <w:t xml:space="preserve"> não é uma possibilidade.</w:t>
      </w:r>
    </w:p>
    <w:p w:rsidR="00CE5AEA" w:rsidRPr="00AF6F30" w:rsidRDefault="00CE5AEA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CE5AEA" w:rsidRPr="00AF6F30" w:rsidRDefault="00CE5AEA" w:rsidP="00AF6F30">
      <w:pPr>
        <w:ind w:left="1416"/>
        <w:jc w:val="both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 w:val="20"/>
          <w:szCs w:val="24"/>
        </w:rPr>
        <w:lastRenderedPageBreak/>
        <w:t xml:space="preserve">Não consigo ver como aceitável ou com a possibilidade de me adaptar à circuncisão feminina em diversos países da África do Norte, à discriminação feminina em diversos países, </w:t>
      </w:r>
      <w:proofErr w:type="gramStart"/>
      <w:r w:rsidRPr="00AF6F30">
        <w:rPr>
          <w:rFonts w:ascii="Times New Roman" w:hAnsi="Times New Roman" w:cs="Times New Roman"/>
          <w:color w:val="000000" w:themeColor="text1"/>
          <w:sz w:val="20"/>
          <w:szCs w:val="24"/>
        </w:rPr>
        <w:t>à</w:t>
      </w:r>
      <w:proofErr w:type="gramEnd"/>
      <w:r w:rsidRPr="00AF6F3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sacrifícios</w:t>
      </w:r>
      <w:r w:rsidRPr="00AF6F3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</w:t>
      </w:r>
      <w:r w:rsidRPr="00AF6F3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humanos etc. O direito à diferença e o respeito às tradições culturais devem ter um limite, e este limite são os direitos humanos. </w:t>
      </w:r>
    </w:p>
    <w:p w:rsidR="00CE5AEA" w:rsidRPr="00AF6F30" w:rsidRDefault="00CE5AEA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78499F" w:rsidRPr="00AF6F30" w:rsidRDefault="0078499F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No ano de 1945, a Carta das Nações Unidas criou um espaço jurídico internacional novo por “reafirmar a fé nos direitos fundamentais do homem, da dignidade e no valor do ser humano, na igualdade de direitos entre homens e mulheres, assim como das nações grandes e pequenas [...]”. </w:t>
      </w:r>
      <w:r w:rsidR="0085072A">
        <w:rPr>
          <w:rFonts w:ascii="Times New Roman" w:hAnsi="Times New Roman" w:cs="Times New Roman"/>
          <w:color w:val="000000" w:themeColor="text1"/>
          <w:szCs w:val="24"/>
        </w:rPr>
        <w:t>TOLENTINO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 (</w:t>
      </w:r>
      <w:r w:rsidR="0085072A">
        <w:rPr>
          <w:rFonts w:ascii="Times New Roman" w:hAnsi="Times New Roman" w:cs="Times New Roman"/>
          <w:color w:val="000000" w:themeColor="text1"/>
          <w:szCs w:val="24"/>
        </w:rPr>
        <w:t>2007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>).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</w:p>
    <w:p w:rsidR="0078499F" w:rsidRPr="00AF6F30" w:rsidRDefault="0078499F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A globalização permitiu a organização e concretização de diversos mecanismos de defesa e proteção internacional dos direitos humanos.</w:t>
      </w:r>
    </w:p>
    <w:p w:rsidR="0078499F" w:rsidRPr="00AF6F30" w:rsidRDefault="007D0336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Com a Declaração dos Direitos Humanos e do Cidadão, no ano de 1979, alguns valores se tornaram universais para a boa convivência entre os indivíduos. A cultura ocidental é primada da ideia que seus valores devem se refletir mundialmente.</w:t>
      </w:r>
      <w:r w:rsidR="001814C5" w:rsidRPr="00AF6F30">
        <w:rPr>
          <w:rFonts w:ascii="Times New Roman" w:hAnsi="Times New Roman" w:cs="Times New Roman"/>
          <w:color w:val="000000" w:themeColor="text1"/>
          <w:szCs w:val="24"/>
        </w:rPr>
        <w:t xml:space="preserve"> (CARDOSO,)</w:t>
      </w:r>
      <w:r w:rsidR="0078499F" w:rsidRPr="00AF6F30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78499F" w:rsidRPr="00AF6F30" w:rsidRDefault="0078499F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DC69B4">
        <w:rPr>
          <w:rFonts w:ascii="Times New Roman" w:hAnsi="Times New Roman" w:cs="Times New Roman"/>
          <w:color w:val="000000" w:themeColor="text1"/>
          <w:szCs w:val="24"/>
        </w:rPr>
        <w:t>Conforme Reis (2004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), a sociedade internacional não pode alterar tradições e costumes que não vão contra os direitos humanos. </w:t>
      </w:r>
    </w:p>
    <w:p w:rsidR="007D54B8" w:rsidRDefault="007D54B8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AF6F30" w:rsidRPr="00AF6F30" w:rsidRDefault="00AF6F30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0377A5" w:rsidRPr="00AF6F30" w:rsidRDefault="000377A5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2.2 A CULTURA DA MUTILAÇÃO GENITAL FEMININA</w:t>
      </w:r>
    </w:p>
    <w:p w:rsidR="000377A5" w:rsidRPr="00AF6F30" w:rsidRDefault="000377A5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0377A5" w:rsidRPr="00AF6F30" w:rsidRDefault="000377A5" w:rsidP="00CD6E4B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Procedimentos como a mutilação genital feminina e a própria circuncisão são antigos na história da humanidade, e aparentemente teve início em rituais religiosos do antigo Egito há mais de seis</w:t>
      </w:r>
      <w:r w:rsidR="00CD6E4B">
        <w:rPr>
          <w:rFonts w:ascii="Times New Roman" w:hAnsi="Times New Roman" w:cs="Times New Roman"/>
          <w:color w:val="000000" w:themeColor="text1"/>
          <w:szCs w:val="24"/>
        </w:rPr>
        <w:t xml:space="preserve"> mil anos atrás.</w:t>
      </w:r>
    </w:p>
    <w:p w:rsidR="0079386C" w:rsidRPr="00AF6F30" w:rsidRDefault="0079386C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O procedimento é feito muitas vezes sem assepsia e com técnicas extremamente rudimentares, podendo muitas vezes levar a infecções no local. Geralmente é feito sem o consentimento dessas mulheres causando danos físicos e psicológicos irreversíveis. </w:t>
      </w:r>
    </w:p>
    <w:p w:rsidR="0079386C" w:rsidRPr="00AF6F30" w:rsidRDefault="0079386C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A Declaração Conjunta de 2008 da Organização Mundial da Saúde e outros órgãos e instituições (OHCHR</w:t>
      </w:r>
      <w:r w:rsidR="000E2144" w:rsidRPr="00AF6F30">
        <w:rPr>
          <w:rFonts w:ascii="Times New Roman" w:hAnsi="Times New Roman" w:cs="Times New Roman"/>
          <w:color w:val="000000" w:themeColor="text1"/>
          <w:szCs w:val="24"/>
        </w:rPr>
        <w:t>, UNAIDS, UNDP, UNECA, UNESCO, UNFPA, UNHCR, UNICEF, UNIFEM, WHO) estima que 100 a 140 milhões de meninas e mulheres em todo o mundo tenham sido submetidas a este procedimento.</w:t>
      </w:r>
    </w:p>
    <w:p w:rsidR="0079386C" w:rsidRDefault="0079386C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Os motivos desse procedimento, além do cultural, religioso, etc</w:t>
      </w:r>
      <w:r w:rsidR="000E2144" w:rsidRPr="00AF6F30">
        <w:rPr>
          <w:rFonts w:ascii="Times New Roman" w:hAnsi="Times New Roman" w:cs="Times New Roman"/>
          <w:color w:val="000000" w:themeColor="text1"/>
          <w:szCs w:val="24"/>
        </w:rPr>
        <w:t>.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>, visa preservar a virgindade dessas mulheres.</w:t>
      </w:r>
      <w:r w:rsidR="000E2144" w:rsidRPr="00AF6F30">
        <w:rPr>
          <w:rFonts w:ascii="Times New Roman" w:hAnsi="Times New Roman" w:cs="Times New Roman"/>
          <w:color w:val="000000" w:themeColor="text1"/>
          <w:szCs w:val="24"/>
        </w:rPr>
        <w:t xml:space="preserve"> Além de caracterizar uma violência contra a mulher, vai contra os direitos das crianças que tem seus corpos violentados. É um procedimento desumano e cruel.</w:t>
      </w:r>
    </w:p>
    <w:p w:rsidR="00AF6F30" w:rsidRPr="00AF6F30" w:rsidRDefault="00AF6F30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0E2144" w:rsidRPr="00AF6F30" w:rsidRDefault="000E2144" w:rsidP="00AF6F30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b/>
          <w:color w:val="000000" w:themeColor="text1"/>
          <w:szCs w:val="24"/>
        </w:rPr>
        <w:lastRenderedPageBreak/>
        <w:t>2.2.1 Classificação da Mutilação Genital Feminina</w:t>
      </w:r>
    </w:p>
    <w:p w:rsidR="000E2144" w:rsidRPr="00AF6F30" w:rsidRDefault="000E2144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0E2144" w:rsidRPr="00AF6F30" w:rsidRDefault="00E71BC5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De acordo com a Declaração Conjunta de 2008, a Mutilação Genital Feminina pode ser classificada em </w:t>
      </w:r>
      <w:proofErr w:type="gramStart"/>
      <w:r w:rsidRPr="00AF6F30">
        <w:rPr>
          <w:rFonts w:ascii="Times New Roman" w:hAnsi="Times New Roman" w:cs="Times New Roman"/>
          <w:color w:val="000000" w:themeColor="text1"/>
          <w:szCs w:val="24"/>
        </w:rPr>
        <w:t>4</w:t>
      </w:r>
      <w:proofErr w:type="gramEnd"/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 categorias de acordo com os diferentes tipos de mutilação:</w:t>
      </w:r>
    </w:p>
    <w:p w:rsidR="00E71BC5" w:rsidRPr="00AF6F30" w:rsidRDefault="00E71BC5" w:rsidP="00AF6F30">
      <w:pPr>
        <w:pStyle w:val="PargrafodaLista"/>
        <w:numPr>
          <w:ilvl w:val="0"/>
          <w:numId w:val="3"/>
        </w:numPr>
        <w:spacing w:after="0" w:line="360" w:lineRule="auto"/>
        <w:ind w:left="709" w:hanging="426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MGF tipo </w:t>
      </w:r>
      <w:proofErr w:type="gramStart"/>
      <w:r w:rsidRPr="00AF6F30">
        <w:rPr>
          <w:rFonts w:ascii="Times New Roman" w:hAnsi="Times New Roman" w:cs="Times New Roman"/>
          <w:color w:val="000000" w:themeColor="text1"/>
          <w:szCs w:val="24"/>
        </w:rPr>
        <w:t>1</w:t>
      </w:r>
      <w:proofErr w:type="gramEnd"/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: </w:t>
      </w:r>
      <w:r w:rsidR="00C63372" w:rsidRPr="00AF6F30">
        <w:rPr>
          <w:rFonts w:ascii="Times New Roman" w:hAnsi="Times New Roman" w:cs="Times New Roman"/>
          <w:b w:val="0"/>
          <w:color w:val="000000" w:themeColor="text1"/>
          <w:szCs w:val="24"/>
        </w:rPr>
        <w:t>r</w:t>
      </w:r>
      <w:r w:rsidRPr="00AF6F30">
        <w:rPr>
          <w:rFonts w:ascii="Times New Roman" w:hAnsi="Times New Roman" w:cs="Times New Roman"/>
          <w:b w:val="0"/>
          <w:color w:val="000000" w:themeColor="text1"/>
          <w:szCs w:val="24"/>
        </w:rPr>
        <w:t>emoção parcial ou total do clitóris e/ou do prepúcio;</w:t>
      </w:r>
    </w:p>
    <w:p w:rsidR="00E71BC5" w:rsidRPr="00AF6F30" w:rsidRDefault="00E71BC5" w:rsidP="00AF6F30">
      <w:pPr>
        <w:pStyle w:val="PargrafodaLista"/>
        <w:numPr>
          <w:ilvl w:val="0"/>
          <w:numId w:val="3"/>
        </w:numPr>
        <w:spacing w:after="0" w:line="360" w:lineRule="auto"/>
        <w:ind w:left="709" w:hanging="426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MGF tipo </w:t>
      </w:r>
      <w:proofErr w:type="gramStart"/>
      <w:r w:rsidRPr="00AF6F30">
        <w:rPr>
          <w:rFonts w:ascii="Times New Roman" w:hAnsi="Times New Roman" w:cs="Times New Roman"/>
          <w:color w:val="000000" w:themeColor="text1"/>
          <w:szCs w:val="24"/>
        </w:rPr>
        <w:t>2</w:t>
      </w:r>
      <w:proofErr w:type="gramEnd"/>
      <w:r w:rsidRPr="00AF6F30">
        <w:rPr>
          <w:rFonts w:ascii="Times New Roman" w:hAnsi="Times New Roman" w:cs="Times New Roman"/>
          <w:color w:val="000000" w:themeColor="text1"/>
          <w:szCs w:val="24"/>
        </w:rPr>
        <w:t>:</w:t>
      </w:r>
      <w:r w:rsidR="00C63372" w:rsidRPr="00AF6F30">
        <w:rPr>
          <w:rFonts w:ascii="Times New Roman" w:hAnsi="Times New Roman" w:cs="Times New Roman"/>
          <w:b w:val="0"/>
          <w:color w:val="000000" w:themeColor="text1"/>
          <w:szCs w:val="24"/>
        </w:rPr>
        <w:t xml:space="preserve"> r</w:t>
      </w:r>
      <w:r w:rsidRPr="00AF6F30">
        <w:rPr>
          <w:rFonts w:ascii="Times New Roman" w:hAnsi="Times New Roman" w:cs="Times New Roman"/>
          <w:b w:val="0"/>
          <w:color w:val="000000" w:themeColor="text1"/>
          <w:szCs w:val="24"/>
        </w:rPr>
        <w:t>emoção parcial ou total do clitóris, dos pequenos lábios com ou sem remoção dos grandes lábios;</w:t>
      </w:r>
    </w:p>
    <w:p w:rsidR="00165115" w:rsidRPr="00AF6F30" w:rsidRDefault="00E71BC5" w:rsidP="00AF6F30">
      <w:pPr>
        <w:pStyle w:val="PargrafodaLista"/>
        <w:numPr>
          <w:ilvl w:val="0"/>
          <w:numId w:val="3"/>
        </w:numPr>
        <w:spacing w:after="0" w:line="360" w:lineRule="auto"/>
        <w:ind w:left="709" w:hanging="426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MGF tipo </w:t>
      </w:r>
      <w:proofErr w:type="gramStart"/>
      <w:r w:rsidRPr="00AF6F30">
        <w:rPr>
          <w:rFonts w:ascii="Times New Roman" w:hAnsi="Times New Roman" w:cs="Times New Roman"/>
          <w:color w:val="000000" w:themeColor="text1"/>
          <w:szCs w:val="24"/>
        </w:rPr>
        <w:t>3</w:t>
      </w:r>
      <w:proofErr w:type="gramEnd"/>
      <w:r w:rsidRPr="00AF6F30">
        <w:rPr>
          <w:rFonts w:ascii="Times New Roman" w:hAnsi="Times New Roman" w:cs="Times New Roman"/>
          <w:color w:val="000000" w:themeColor="text1"/>
          <w:szCs w:val="24"/>
        </w:rPr>
        <w:t>:</w:t>
      </w:r>
      <w:r w:rsidRPr="00AF6F30">
        <w:rPr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r w:rsidR="00165115" w:rsidRPr="00AF6F30">
        <w:rPr>
          <w:rFonts w:ascii="Times New Roman" w:hAnsi="Times New Roman" w:cs="Times New Roman"/>
          <w:b w:val="0"/>
          <w:color w:val="000000" w:themeColor="text1"/>
          <w:szCs w:val="24"/>
        </w:rPr>
        <w:t>criação de uma membrana selante para estreitamento do orifício vaginal,  corte e sobreposição dos pequenos lábios e/ou dos grandes lábios com ou sem remoção do clitóris;</w:t>
      </w:r>
    </w:p>
    <w:p w:rsidR="007B2E41" w:rsidRPr="00AF6F30" w:rsidRDefault="00165115" w:rsidP="00AF6F30">
      <w:pPr>
        <w:pStyle w:val="PargrafodaLista"/>
        <w:numPr>
          <w:ilvl w:val="0"/>
          <w:numId w:val="3"/>
        </w:numPr>
        <w:spacing w:after="0" w:line="360" w:lineRule="auto"/>
        <w:ind w:left="709" w:hanging="426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MGF tipo </w:t>
      </w:r>
      <w:proofErr w:type="gramStart"/>
      <w:r w:rsidRPr="00AF6F30">
        <w:rPr>
          <w:rFonts w:ascii="Times New Roman" w:hAnsi="Times New Roman" w:cs="Times New Roman"/>
          <w:color w:val="000000" w:themeColor="text1"/>
          <w:szCs w:val="24"/>
        </w:rPr>
        <w:t>4</w:t>
      </w:r>
      <w:proofErr w:type="gramEnd"/>
      <w:r w:rsidRPr="00AF6F30">
        <w:rPr>
          <w:rFonts w:ascii="Times New Roman" w:hAnsi="Times New Roman" w:cs="Times New Roman"/>
          <w:color w:val="000000" w:themeColor="text1"/>
          <w:szCs w:val="24"/>
        </w:rPr>
        <w:t>:</w:t>
      </w:r>
      <w:r w:rsidRPr="00AF6F30">
        <w:rPr>
          <w:rFonts w:ascii="Times New Roman" w:hAnsi="Times New Roman" w:cs="Times New Roman"/>
          <w:b w:val="0"/>
          <w:color w:val="000000" w:themeColor="text1"/>
          <w:szCs w:val="24"/>
        </w:rPr>
        <w:t xml:space="preserve"> </w:t>
      </w:r>
      <w:r w:rsidR="007B2E41" w:rsidRPr="00AF6F30">
        <w:rPr>
          <w:rFonts w:ascii="Times New Roman" w:hAnsi="Times New Roman" w:cs="Times New Roman"/>
          <w:b w:val="0"/>
          <w:color w:val="000000" w:themeColor="text1"/>
          <w:szCs w:val="24"/>
        </w:rPr>
        <w:t>outras intervenções calamitosas sobre os órgãos genitais femininos sem razões médicas.</w:t>
      </w:r>
    </w:p>
    <w:p w:rsidR="003B7BB8" w:rsidRPr="00AF6F30" w:rsidRDefault="003B7BB8" w:rsidP="00AF6F30">
      <w:pPr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AF6F30" w:rsidRDefault="00AF6F30">
      <w:pPr>
        <w:spacing w:after="160" w:line="259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br w:type="page"/>
      </w:r>
    </w:p>
    <w:p w:rsidR="003B7BB8" w:rsidRPr="00AF6F30" w:rsidRDefault="003B7BB8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lastRenderedPageBreak/>
        <w:t>FIGURA 1 – Mapa da prevalência da mutilação genital feminina na África e no Iémen*</w:t>
      </w:r>
    </w:p>
    <w:p w:rsidR="007B2E41" w:rsidRPr="00AF6F30" w:rsidRDefault="003B7BB8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noProof/>
          <w:color w:val="000000" w:themeColor="text1"/>
          <w:szCs w:val="24"/>
          <w:lang w:eastAsia="pt-BR"/>
        </w:rPr>
        <w:drawing>
          <wp:inline distT="0" distB="0" distL="0" distR="0" wp14:anchorId="79F9F270" wp14:editId="04D6A029">
            <wp:extent cx="5617637" cy="3590925"/>
            <wp:effectExtent l="0" t="0" r="254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1764" t="22357" r="18637" b="21254"/>
                    <a:stretch/>
                  </pic:blipFill>
                  <pic:spPr bwMode="auto">
                    <a:xfrm>
                      <a:off x="0" y="0"/>
                      <a:ext cx="5624702" cy="3595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2E41" w:rsidRPr="00AF6F30" w:rsidRDefault="003B7BB8" w:rsidP="00DC69B4">
      <w:pPr>
        <w:jc w:val="both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 w:val="20"/>
          <w:szCs w:val="24"/>
        </w:rPr>
        <w:t>*mulheres com idade compreendidas entre 15 e 49 anos</w:t>
      </w:r>
    </w:p>
    <w:p w:rsidR="003B7BB8" w:rsidRPr="00AF6F30" w:rsidRDefault="003B7BB8" w:rsidP="00DC69B4">
      <w:pPr>
        <w:jc w:val="both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 w:val="20"/>
          <w:szCs w:val="24"/>
        </w:rPr>
        <w:t>Fonte: Declaração Conjunta, 2008.</w:t>
      </w:r>
    </w:p>
    <w:p w:rsidR="003B7BB8" w:rsidRPr="00AF6F30" w:rsidRDefault="003B7BB8" w:rsidP="00AF6F30">
      <w:pPr>
        <w:spacing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5A34C3" w:rsidRPr="00AF6F30" w:rsidRDefault="005A34C3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Observamos na figura 1 que a prevalência da mutilação genital feminina ultrapassa 85% em sete países. A estimativa é que 90% das mutilações são do tipo I e II.</w:t>
      </w:r>
    </w:p>
    <w:p w:rsidR="00EE798E" w:rsidRPr="00AF6F30" w:rsidRDefault="00A77CCF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A principal diferença entre mutilação feminina e a circuncisão masculina é o grau de mutilação, no entanto, nenhum dos procedimentos possui benefícios terapêuticos, sendo únicos e exclusivamente praticados por questões culturais e religiosas. A controversa muitas vezes aparece</w:t>
      </w:r>
      <w:r w:rsidR="00EE798E" w:rsidRPr="00AF6F30">
        <w:rPr>
          <w:rFonts w:ascii="Times New Roman" w:hAnsi="Times New Roman" w:cs="Times New Roman"/>
          <w:color w:val="000000" w:themeColor="text1"/>
          <w:szCs w:val="24"/>
        </w:rPr>
        <w:t>, pois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>, em alguns casos as mulheres desejam o procedimento por faze</w:t>
      </w:r>
      <w:r w:rsidR="00EE798E" w:rsidRPr="00AF6F30">
        <w:rPr>
          <w:rFonts w:ascii="Times New Roman" w:hAnsi="Times New Roman" w:cs="Times New Roman"/>
          <w:color w:val="000000" w:themeColor="text1"/>
          <w:szCs w:val="24"/>
        </w:rPr>
        <w:t>r parte de um processo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 cultural</w:t>
      </w:r>
      <w:r w:rsidR="00EE798E" w:rsidRPr="00AF6F30">
        <w:rPr>
          <w:rFonts w:ascii="Times New Roman" w:hAnsi="Times New Roman" w:cs="Times New Roman"/>
          <w:color w:val="000000" w:themeColor="text1"/>
          <w:szCs w:val="24"/>
        </w:rPr>
        <w:t xml:space="preserve"> natural. No entanto, esse poder de escolha não é dado às crianças. (SILVA, 2012).</w:t>
      </w:r>
      <w:r w:rsidR="00224531" w:rsidRPr="00AF6F30">
        <w:rPr>
          <w:rFonts w:ascii="Times New Roman" w:hAnsi="Times New Roman" w:cs="Times New Roman"/>
          <w:color w:val="000000" w:themeColor="text1"/>
          <w:szCs w:val="24"/>
        </w:rPr>
        <w:t xml:space="preserve"> Outras vezes, mulheres que não passaram pelo procedimento sofrem discriminação do seu povo por ser considerada impura. (PALHARES, 2013).</w:t>
      </w:r>
    </w:p>
    <w:p w:rsidR="00EE798E" w:rsidRPr="00AF6F30" w:rsidRDefault="00CB7FC8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Silva (2012) destaca que as complicações da mutilação incluem hemorragia, infecção e retenção urinária que pode ser fatal, se não tratada. Também representa efeitos irreversíveis na sexualidade feminina e nas suas relações sexuais.</w:t>
      </w:r>
      <w:r w:rsidR="008F2263" w:rsidRPr="00AF6F30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</w:p>
    <w:p w:rsidR="008F2263" w:rsidRPr="00AF6F30" w:rsidRDefault="008F2263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Há também uma estreita relação entre Prognostico Obstetrício e a mutilação genital feminina. Estudos desenvolvidos pela OMS com 28 mil mulheres que passaram pelo procedimento, demonstrou um risco aumentado significativo de complicações durante o parto, com aumento de cesarianas e hemorragias pós-parto.</w:t>
      </w:r>
    </w:p>
    <w:p w:rsidR="00634EE8" w:rsidRPr="00AF6F30" w:rsidRDefault="00634EE8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lastRenderedPageBreak/>
        <w:t xml:space="preserve">De acordo com a 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>Declaração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 Conjunta de 2008, 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>a mutilação genital feminina é uma convenção social atrelada de um lado a recompensas, e de outro, as punições, e isso constitui a principal forca motriz para a continuidade da prática.</w:t>
      </w:r>
      <w:r w:rsidR="007E1347" w:rsidRPr="00AF6F30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</w:p>
    <w:p w:rsidR="007E1347" w:rsidRPr="00AF6F30" w:rsidRDefault="007E1347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Apesar de protegido por legislação internacional, a liberdade religiosa e a participação na vida cultural esbarram no direito internacional, que estipula limitações necessárias para proteger os direitos fundamentais e de liberdade. (Declaração Conjunta, 2008).</w:t>
      </w:r>
    </w:p>
    <w:p w:rsidR="007E1347" w:rsidRPr="00AF6F30" w:rsidRDefault="007E1347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Apesar da maioria dos países onde essa prática ocorre terem criminalizado a mutilação genital feminina, os mesmos falharam ao não estipular sanções a quem as pratica. Ou seja, crianças, adolescentes e mulheres continuam desamparadas </w:t>
      </w:r>
      <w:r w:rsidR="000410F4" w:rsidRPr="00AF6F30">
        <w:rPr>
          <w:rFonts w:ascii="Times New Roman" w:hAnsi="Times New Roman" w:cs="Times New Roman"/>
          <w:color w:val="000000" w:themeColor="text1"/>
          <w:szCs w:val="24"/>
        </w:rPr>
        <w:t>criminalmente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7E1347" w:rsidRPr="00AF6F30" w:rsidRDefault="007E1347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7E1347" w:rsidRPr="00AF6F30" w:rsidRDefault="0040386A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b/>
          <w:color w:val="000000" w:themeColor="text1"/>
          <w:szCs w:val="24"/>
        </w:rPr>
        <w:t>2.2.2</w:t>
      </w:r>
      <w:r w:rsidR="004E5920" w:rsidRPr="00AF6F30">
        <w:rPr>
          <w:rFonts w:ascii="Times New Roman" w:hAnsi="Times New Roman" w:cs="Times New Roman"/>
          <w:b/>
          <w:color w:val="000000" w:themeColor="text1"/>
          <w:szCs w:val="24"/>
        </w:rPr>
        <w:t xml:space="preserve"> Concessão de refúgio com base em gênero</w:t>
      </w:r>
    </w:p>
    <w:p w:rsidR="004E5920" w:rsidRPr="00AF6F30" w:rsidRDefault="004E5920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4E5920" w:rsidRPr="00AF6F30" w:rsidRDefault="004E5920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A questão do refúgio por diversas questões, principalmente motivo de guerras civis e domínio de grupos extremistas, tem sido o grande problema geopolítico mundial. </w:t>
      </w:r>
    </w:p>
    <w:p w:rsidR="004E5920" w:rsidRPr="00AF6F30" w:rsidRDefault="004E5920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No entanto, o refúgio com base em gênero, ainda não é uma menção específica, porém não deixa de ser uma perseguição. Alguns países já acolheram a mutilação genital feminina como uma argumentação para solicitação de refúgio, na União Europeia mais de 20 mil solicitações foram fundamentadas na mutilação genital. (TOMAZONI, 2017). </w:t>
      </w:r>
    </w:p>
    <w:p w:rsidR="00AF6F30" w:rsidRDefault="00AF6F30" w:rsidP="00AF6F30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40386A" w:rsidRPr="00AF6F30" w:rsidRDefault="00AF6F30" w:rsidP="00AF6F30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2.2.3 </w:t>
      </w:r>
      <w:r w:rsidR="0040386A" w:rsidRPr="00AF6F30">
        <w:rPr>
          <w:rFonts w:ascii="Times New Roman" w:hAnsi="Times New Roman" w:cs="Times New Roman"/>
          <w:color w:val="000000" w:themeColor="text1"/>
          <w:szCs w:val="24"/>
        </w:rPr>
        <w:t>Mutilação genital feminina no âmbito da medicina</w:t>
      </w:r>
    </w:p>
    <w:p w:rsidR="0040386A" w:rsidRPr="00AF6F30" w:rsidRDefault="0040386A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40386A" w:rsidRPr="00AF6F30" w:rsidRDefault="0040386A" w:rsidP="00AF6F30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Tem se tornado comum, devido </w:t>
      </w:r>
      <w:r w:rsidR="00AF6F30" w:rsidRPr="00AF6F30">
        <w:rPr>
          <w:rFonts w:ascii="Times New Roman" w:hAnsi="Times New Roman" w:cs="Times New Roman"/>
          <w:color w:val="000000" w:themeColor="text1"/>
          <w:szCs w:val="24"/>
        </w:rPr>
        <w:t>à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 imigração, que em alguns países médicos façam a circuncisão feminina e masculina em hospitais. Ganhos financeiros, pressão e sentido de dever para com a vontade da comunidade são tidos como as principais motivações dos médicos optarem por realizar o procedimento. (Declaração Conjunta, 2008).</w:t>
      </w:r>
    </w:p>
    <w:p w:rsidR="00536919" w:rsidRPr="00AF6F30" w:rsidRDefault="00536919" w:rsidP="00AF6F30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Por outro lado, é evidente que a realização do procedimento por um profissional especializado, reduz danos e os riscos imediatos são reduzidos</w:t>
      </w:r>
      <w:r w:rsidR="005C1936" w:rsidRPr="00AF6F30">
        <w:rPr>
          <w:rFonts w:ascii="Times New Roman" w:hAnsi="Times New Roman" w:cs="Times New Roman"/>
          <w:color w:val="000000" w:themeColor="text1"/>
          <w:szCs w:val="24"/>
        </w:rPr>
        <w:t xml:space="preserve">. Porém não existe evidencias de que a supervisão médica reduza as complicações obstétricas ou outras </w:t>
      </w:r>
      <w:proofErr w:type="gramStart"/>
      <w:r w:rsidR="005C1936" w:rsidRPr="00AF6F30">
        <w:rPr>
          <w:rFonts w:ascii="Times New Roman" w:hAnsi="Times New Roman" w:cs="Times New Roman"/>
          <w:color w:val="000000" w:themeColor="text1"/>
          <w:szCs w:val="24"/>
        </w:rPr>
        <w:t>a longo prazo</w:t>
      </w:r>
      <w:proofErr w:type="gramEnd"/>
      <w:r w:rsidR="005C1936" w:rsidRPr="00AF6F30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5C1936" w:rsidRPr="00AF6F30" w:rsidRDefault="005C1936" w:rsidP="00AF6F30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Ainda de acordo com a Declaração Conjunta (2008), </w:t>
      </w:r>
      <w:r w:rsidR="0031152D" w:rsidRPr="00AF6F30">
        <w:rPr>
          <w:rFonts w:ascii="Times New Roman" w:hAnsi="Times New Roman" w:cs="Times New Roman"/>
          <w:color w:val="000000" w:themeColor="text1"/>
          <w:szCs w:val="24"/>
        </w:rPr>
        <w:t xml:space="preserve">em 1994 a Federação Internacional de Ginecologia e </w:t>
      </w:r>
      <w:r w:rsidR="00D05339" w:rsidRPr="00AF6F30">
        <w:rPr>
          <w:rFonts w:ascii="Times New Roman" w:hAnsi="Times New Roman" w:cs="Times New Roman"/>
          <w:color w:val="000000" w:themeColor="text1"/>
          <w:szCs w:val="24"/>
        </w:rPr>
        <w:t>Obstetrícia</w:t>
      </w:r>
      <w:r w:rsidR="0031152D" w:rsidRPr="00AF6F30">
        <w:rPr>
          <w:rFonts w:ascii="Times New Roman" w:hAnsi="Times New Roman" w:cs="Times New Roman"/>
          <w:color w:val="000000" w:themeColor="text1"/>
          <w:szCs w:val="24"/>
        </w:rPr>
        <w:t xml:space="preserve"> (FIGO) aprovou uma resolução opondo-se a pratica de mutilação genital feminina por obstetras e ginecologistas.</w:t>
      </w:r>
    </w:p>
    <w:p w:rsidR="0031152D" w:rsidRPr="00AF6F30" w:rsidRDefault="0031152D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31152D" w:rsidRDefault="0031152D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AF6F30" w:rsidRPr="00AF6F30" w:rsidRDefault="00AF6F30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31152D" w:rsidRPr="00AF6F30" w:rsidRDefault="00CB5B99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lastRenderedPageBreak/>
        <w:t>2.3. RELAÇÕES INTERNACIONAIS E ERRADICAÇÃO DA MGF</w:t>
      </w:r>
    </w:p>
    <w:p w:rsidR="00CB5B99" w:rsidRPr="00AF6F30" w:rsidRDefault="00CB5B99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CB5B99" w:rsidRPr="00AF6F30" w:rsidRDefault="00D05339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As ações a nível internacional recentemente começaram a apresentar resultados. O apoio ao abandono da prática vem em uma crescente e em algumas regiões a mutilação genital diminuiu.</w:t>
      </w:r>
    </w:p>
    <w:p w:rsidR="00D05339" w:rsidRPr="00AF6F30" w:rsidRDefault="00D05339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Em Guiné Bissau, por exemplo, os esforços de vítimas, organizações e movimentos sociais foram benéficos para a luta contra </w:t>
      </w:r>
      <w:proofErr w:type="gramStart"/>
      <w:r w:rsidRPr="00AF6F30">
        <w:rPr>
          <w:rFonts w:ascii="Times New Roman" w:hAnsi="Times New Roman" w:cs="Times New Roman"/>
          <w:color w:val="000000" w:themeColor="text1"/>
          <w:szCs w:val="24"/>
        </w:rPr>
        <w:t>a MGF</w:t>
      </w:r>
      <w:proofErr w:type="gramEnd"/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, em junho de 2011 o Parlamento considerou a prática crime punível por lei. (SILVA, </w:t>
      </w:r>
      <w:r w:rsidR="00131BAB" w:rsidRPr="00AF6F30">
        <w:rPr>
          <w:rFonts w:ascii="Times New Roman" w:hAnsi="Times New Roman" w:cs="Times New Roman"/>
          <w:color w:val="000000" w:themeColor="text1"/>
          <w:szCs w:val="24"/>
        </w:rPr>
        <w:t>2012</w:t>
      </w:r>
      <w:r w:rsidRPr="00AF6F30">
        <w:rPr>
          <w:rFonts w:ascii="Times New Roman" w:hAnsi="Times New Roman" w:cs="Times New Roman"/>
          <w:color w:val="000000" w:themeColor="text1"/>
          <w:szCs w:val="24"/>
        </w:rPr>
        <w:t>).</w:t>
      </w:r>
    </w:p>
    <w:p w:rsidR="00D05339" w:rsidRPr="00AF6F30" w:rsidRDefault="00131BAB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De acordo com Silva (2012):</w:t>
      </w:r>
    </w:p>
    <w:p w:rsidR="00131BAB" w:rsidRPr="00AF6F30" w:rsidRDefault="00131BAB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131BAB" w:rsidRPr="00AF6F30" w:rsidRDefault="00131BAB" w:rsidP="00AF6F30">
      <w:pPr>
        <w:ind w:left="1416"/>
        <w:jc w:val="both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A educação também é fundamental para o combate a esta prática, para o desenvolvimento da população e para a erradicação de outras práticas nefastas contra </w:t>
      </w:r>
      <w:r w:rsidRPr="00AF6F30">
        <w:rPr>
          <w:rFonts w:ascii="Times New Roman" w:hAnsi="Times New Roman" w:cs="Times New Roman"/>
          <w:color w:val="000000" w:themeColor="text1"/>
          <w:sz w:val="20"/>
          <w:szCs w:val="24"/>
        </w:rPr>
        <w:t>a</w:t>
      </w:r>
      <w:r w:rsidRPr="00AF6F3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criança e contra </w:t>
      </w:r>
      <w:proofErr w:type="gramStart"/>
      <w:r w:rsidRPr="00AF6F30">
        <w:rPr>
          <w:rFonts w:ascii="Times New Roman" w:hAnsi="Times New Roman" w:cs="Times New Roman"/>
          <w:color w:val="000000" w:themeColor="text1"/>
          <w:sz w:val="20"/>
          <w:szCs w:val="24"/>
        </w:rPr>
        <w:t>à</w:t>
      </w:r>
      <w:proofErr w:type="gramEnd"/>
      <w:r w:rsidRPr="00AF6F3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mulher. Só assim, poder-se-á atingir alguns dos Objetivos do Milénio como o caso da promoção da igualdade entre os sexos; da redução da mortalidade infantil; da redução da taxa de mortalidade materna; e do combate ao VIH/SIDA.</w:t>
      </w:r>
    </w:p>
    <w:p w:rsidR="005C1936" w:rsidRPr="00AF6F30" w:rsidRDefault="005C1936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131BAB" w:rsidRPr="00AF6F30" w:rsidRDefault="00131BAB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Para COSTA (2020), as raízes da MGF são sustentadas por estruturas patriarcais e pela distribuição desigual de poder entre homens e mulheres que são conservadas por normas sociais e muitas vezes pelo próprio governo. É essencial que </w:t>
      </w:r>
      <w:r w:rsidR="003067D6" w:rsidRPr="00AF6F30">
        <w:rPr>
          <w:rFonts w:ascii="Times New Roman" w:hAnsi="Times New Roman" w:cs="Times New Roman"/>
          <w:color w:val="000000" w:themeColor="text1"/>
          <w:szCs w:val="24"/>
        </w:rPr>
        <w:t>se prio</w:t>
      </w:r>
      <w:r w:rsidR="00093696" w:rsidRPr="00AF6F30">
        <w:rPr>
          <w:rFonts w:ascii="Times New Roman" w:hAnsi="Times New Roman" w:cs="Times New Roman"/>
          <w:color w:val="000000" w:themeColor="text1"/>
          <w:szCs w:val="24"/>
        </w:rPr>
        <w:t>rize a prá</w:t>
      </w:r>
      <w:r w:rsidR="003067D6" w:rsidRPr="00AF6F30">
        <w:rPr>
          <w:rFonts w:ascii="Times New Roman" w:hAnsi="Times New Roman" w:cs="Times New Roman"/>
          <w:color w:val="000000" w:themeColor="text1"/>
          <w:szCs w:val="24"/>
        </w:rPr>
        <w:t xml:space="preserve">tica de tradições </w:t>
      </w:r>
      <w:r w:rsidR="00093696" w:rsidRPr="00AF6F30">
        <w:rPr>
          <w:rFonts w:ascii="Times New Roman" w:hAnsi="Times New Roman" w:cs="Times New Roman"/>
          <w:color w:val="000000" w:themeColor="text1"/>
          <w:szCs w:val="24"/>
        </w:rPr>
        <w:t>culturais que realizem de uma maneira segura e agradável o momento de passagem para a vida adulta e inserção na sociedade.</w:t>
      </w:r>
    </w:p>
    <w:p w:rsidR="00093696" w:rsidRPr="00AF6F30" w:rsidRDefault="00093696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Na Declaração Conjunta (2008), se destaca para o fato de que a solução para o fim da prática não é simples e rápida.</w:t>
      </w:r>
    </w:p>
    <w:p w:rsidR="00093696" w:rsidRPr="00AF6F30" w:rsidRDefault="00093696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093696" w:rsidRPr="00AF6F30" w:rsidRDefault="00093696" w:rsidP="00AF6F30">
      <w:pPr>
        <w:ind w:left="1416"/>
        <w:jc w:val="both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 w:val="20"/>
          <w:szCs w:val="24"/>
        </w:rPr>
        <w:t>A decisão de abandono tem de ser coletiva e explicita, para que cada família possa confiar no abandono simultâneo por parte das restantes. Para que possa surtir efeito e ser sustentável, a decisão tem de ser generalizada dentro da comunidade praticante. Na realidade, esta decisão trará consigo uma nova norma social que assegure a possibilidade de casamento das filhas</w:t>
      </w:r>
      <w:proofErr w:type="gramStart"/>
      <w:r w:rsidRPr="00AF6F3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 </w:t>
      </w:r>
      <w:proofErr w:type="gramEnd"/>
      <w:r w:rsidRPr="00AF6F30">
        <w:rPr>
          <w:rFonts w:ascii="Times New Roman" w:hAnsi="Times New Roman" w:cs="Times New Roman"/>
          <w:color w:val="000000" w:themeColor="text1"/>
          <w:sz w:val="20"/>
          <w:szCs w:val="24"/>
        </w:rPr>
        <w:t>e o estatuto social das famílias que não as sujeitam à prática; uma norma social que não prejudica as meninas nem viola seus direitos.</w:t>
      </w:r>
    </w:p>
    <w:p w:rsidR="00093696" w:rsidRPr="00AF6F30" w:rsidRDefault="00093696" w:rsidP="00AF6F30">
      <w:pPr>
        <w:spacing w:line="259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b/>
          <w:color w:val="000000" w:themeColor="text1"/>
          <w:szCs w:val="24"/>
        </w:rPr>
        <w:br w:type="page"/>
      </w:r>
    </w:p>
    <w:p w:rsidR="00A14A00" w:rsidRPr="00AF6F30" w:rsidRDefault="008F2263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b/>
          <w:color w:val="000000" w:themeColor="text1"/>
          <w:szCs w:val="24"/>
        </w:rPr>
        <w:lastRenderedPageBreak/>
        <w:t>C</w:t>
      </w:r>
      <w:r w:rsidR="00A14A00" w:rsidRPr="00AF6F30">
        <w:rPr>
          <w:rFonts w:ascii="Times New Roman" w:hAnsi="Times New Roman" w:cs="Times New Roman"/>
          <w:b/>
          <w:color w:val="000000" w:themeColor="text1"/>
          <w:szCs w:val="24"/>
        </w:rPr>
        <w:t>ONSIDERAÇÕES FINAIS</w:t>
      </w:r>
    </w:p>
    <w:p w:rsidR="002543FF" w:rsidRPr="00AF6F30" w:rsidRDefault="002543FF" w:rsidP="00AF6F30">
      <w:pPr>
        <w:spacing w:line="259" w:lineRule="auto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ab/>
      </w:r>
    </w:p>
    <w:p w:rsidR="002543FF" w:rsidRPr="00AF6F30" w:rsidRDefault="002543FF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Ao longo dessa pesquisa bibliográfica, encontram-se muitos artigos sobre o referido assunto da prática da Mutilação Genital feminina. O impacto dessa pesquisa foi inevitável visto que se trata de uma prática violenta, </w:t>
      </w:r>
      <w:proofErr w:type="spellStart"/>
      <w:r w:rsidRPr="00AF6F30">
        <w:rPr>
          <w:rFonts w:ascii="Times New Roman" w:hAnsi="Times New Roman" w:cs="Times New Roman"/>
          <w:color w:val="000000" w:themeColor="text1"/>
          <w:szCs w:val="24"/>
        </w:rPr>
        <w:t>mutilatória</w:t>
      </w:r>
      <w:proofErr w:type="spellEnd"/>
      <w:r w:rsidRPr="00AF6F30">
        <w:rPr>
          <w:rFonts w:ascii="Times New Roman" w:hAnsi="Times New Roman" w:cs="Times New Roman"/>
          <w:color w:val="000000" w:themeColor="text1"/>
          <w:szCs w:val="24"/>
        </w:rPr>
        <w:t xml:space="preserve"> e de extrema tortura física e psicológica para essas crianças e mulheres.</w:t>
      </w:r>
    </w:p>
    <w:p w:rsidR="002543FF" w:rsidRPr="00AF6F30" w:rsidRDefault="002543FF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color w:val="000000" w:themeColor="text1"/>
          <w:szCs w:val="24"/>
        </w:rPr>
        <w:t>No entanto, foi constatado que devido ações de crio internacional e localizadas têm surtido resultados na diminuição dessa prática. A união das comunidades, das mulheres e das organizações internacionais trouxeram benefícios e em alguns países a prática, já é considerado crime sujeita a punição legal.</w:t>
      </w:r>
    </w:p>
    <w:p w:rsidR="002543FF" w:rsidRPr="00AF6F30" w:rsidRDefault="002543FF" w:rsidP="00AF6F3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A14A00" w:rsidRPr="00AF6F30" w:rsidRDefault="00A14A00" w:rsidP="00AF6F30">
      <w:pPr>
        <w:spacing w:line="259" w:lineRule="auto"/>
        <w:rPr>
          <w:rFonts w:ascii="Times New Roman" w:hAnsi="Times New Roman" w:cs="Times New Roman"/>
          <w:color w:val="000000" w:themeColor="text1"/>
          <w:szCs w:val="24"/>
        </w:rPr>
      </w:pPr>
    </w:p>
    <w:p w:rsidR="002543FF" w:rsidRPr="00AF6F30" w:rsidRDefault="002543FF" w:rsidP="00AF6F30">
      <w:pPr>
        <w:spacing w:line="259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b/>
          <w:color w:val="000000" w:themeColor="text1"/>
          <w:szCs w:val="24"/>
        </w:rPr>
        <w:br w:type="page"/>
      </w:r>
    </w:p>
    <w:p w:rsidR="00A14A00" w:rsidRPr="00AF6F30" w:rsidRDefault="00A14A00" w:rsidP="00AF6F30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Cs w:val="24"/>
        </w:rPr>
      </w:pPr>
      <w:r w:rsidRPr="00AF6F30">
        <w:rPr>
          <w:rFonts w:ascii="Times New Roman" w:hAnsi="Times New Roman" w:cs="Times New Roman"/>
          <w:b/>
          <w:color w:val="000000" w:themeColor="text1"/>
          <w:szCs w:val="24"/>
        </w:rPr>
        <w:lastRenderedPageBreak/>
        <w:t>REFERÊNCIAS</w:t>
      </w:r>
    </w:p>
    <w:p w:rsidR="002543FF" w:rsidRPr="00AF6F30" w:rsidRDefault="002543FF" w:rsidP="00AF6F3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2543FF" w:rsidRDefault="00CD6E4B" w:rsidP="00CD6E4B">
      <w:pPr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CASTRO, Thales. Teoria das Relações </w:t>
      </w:r>
      <w:proofErr w:type="spellStart"/>
      <w:r>
        <w:rPr>
          <w:rFonts w:ascii="Times New Roman" w:hAnsi="Times New Roman" w:cs="Times New Roman"/>
          <w:color w:val="000000" w:themeColor="text1"/>
          <w:szCs w:val="24"/>
        </w:rPr>
        <w:t>Internacionias</w:t>
      </w:r>
      <w:proofErr w:type="spellEnd"/>
      <w:r>
        <w:rPr>
          <w:rFonts w:ascii="Times New Roman" w:hAnsi="Times New Roman" w:cs="Times New Roman"/>
          <w:color w:val="000000" w:themeColor="text1"/>
          <w:szCs w:val="24"/>
        </w:rPr>
        <w:t>. Brasília: FUNAG, 2012.</w:t>
      </w:r>
    </w:p>
    <w:p w:rsidR="00CD6E4B" w:rsidRDefault="00CD6E4B" w:rsidP="00CD6E4B">
      <w:pPr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85072A" w:rsidRDefault="0085072A" w:rsidP="00CD6E4B">
      <w:pPr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COSTA, Lara Delgado. </w:t>
      </w:r>
      <w:proofErr w:type="spellStart"/>
      <w:r>
        <w:rPr>
          <w:rFonts w:ascii="Times New Roman" w:hAnsi="Times New Roman" w:cs="Times New Roman"/>
          <w:color w:val="000000" w:themeColor="text1"/>
          <w:szCs w:val="24"/>
        </w:rPr>
        <w:t>Mutilacao</w:t>
      </w:r>
      <w:proofErr w:type="spellEnd"/>
      <w:r>
        <w:rPr>
          <w:rFonts w:ascii="Times New Roman" w:hAnsi="Times New Roman" w:cs="Times New Roman"/>
          <w:color w:val="000000" w:themeColor="text1"/>
          <w:szCs w:val="24"/>
        </w:rPr>
        <w:t xml:space="preserve"> Genital Feminina no Continente Africano sob a perspectiva de gênero. FERISP, 2020.</w:t>
      </w:r>
    </w:p>
    <w:p w:rsidR="0085072A" w:rsidRPr="00AF6F30" w:rsidRDefault="0085072A" w:rsidP="00CD6E4B">
      <w:pPr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2543FF" w:rsidRPr="00DC69B4" w:rsidRDefault="002543FF" w:rsidP="00CD6E4B">
      <w:pPr>
        <w:rPr>
          <w:rFonts w:ascii="Times New Roman" w:hAnsi="Times New Roman" w:cs="Times New Roman"/>
          <w:color w:val="000000" w:themeColor="text1"/>
          <w:szCs w:val="24"/>
        </w:rPr>
      </w:pPr>
      <w:r w:rsidRPr="00DC69B4">
        <w:rPr>
          <w:rFonts w:ascii="Times New Roman" w:hAnsi="Times New Roman" w:cs="Times New Roman"/>
          <w:color w:val="000000" w:themeColor="text1"/>
          <w:szCs w:val="24"/>
        </w:rPr>
        <w:t>Declaração Conjunta</w:t>
      </w:r>
      <w:r w:rsidRPr="00DC69B4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DC69B4">
        <w:rPr>
          <w:rFonts w:ascii="Times New Roman" w:hAnsi="Times New Roman" w:cs="Times New Roman"/>
          <w:color w:val="000000" w:themeColor="text1"/>
          <w:szCs w:val="24"/>
        </w:rPr>
        <w:t>OHCHR, UNAIDS, UNDP, UNECA, UNESCO, UNF</w:t>
      </w:r>
      <w:r w:rsidRPr="00DC69B4">
        <w:rPr>
          <w:rFonts w:ascii="Times New Roman" w:hAnsi="Times New Roman" w:cs="Times New Roman"/>
          <w:color w:val="000000" w:themeColor="text1"/>
          <w:szCs w:val="24"/>
        </w:rPr>
        <w:t xml:space="preserve">PA, UNHCR, </w:t>
      </w:r>
      <w:r w:rsidRPr="00DC69B4">
        <w:rPr>
          <w:rFonts w:ascii="Times New Roman" w:hAnsi="Times New Roman" w:cs="Times New Roman"/>
          <w:color w:val="000000" w:themeColor="text1"/>
          <w:szCs w:val="24"/>
        </w:rPr>
        <w:t>UNICEF, UNIFEM, WHO</w:t>
      </w:r>
      <w:r w:rsidRPr="00DC69B4">
        <w:rPr>
          <w:rFonts w:ascii="Times New Roman" w:hAnsi="Times New Roman" w:cs="Times New Roman"/>
          <w:color w:val="000000" w:themeColor="text1"/>
          <w:szCs w:val="24"/>
        </w:rPr>
        <w:t xml:space="preserve"> e OMS. </w:t>
      </w:r>
      <w:r w:rsidR="00CD6E4B">
        <w:rPr>
          <w:rFonts w:ascii="Times New Roman" w:hAnsi="Times New Roman" w:cs="Times New Roman"/>
          <w:color w:val="000000" w:themeColor="text1"/>
          <w:szCs w:val="24"/>
        </w:rPr>
        <w:t xml:space="preserve">Eliminação da Mutilação Genital Feminina. Organização Mundial da Saúde: </w:t>
      </w:r>
      <w:r w:rsidRPr="00DC69B4">
        <w:rPr>
          <w:rFonts w:ascii="Times New Roman" w:hAnsi="Times New Roman" w:cs="Times New Roman"/>
          <w:color w:val="000000" w:themeColor="text1"/>
          <w:szCs w:val="24"/>
        </w:rPr>
        <w:t xml:space="preserve">2008. Disponível em: </w:t>
      </w:r>
      <w:hyperlink r:id="rId8" w:history="1">
        <w:r w:rsidRPr="00DC69B4">
          <w:rPr>
            <w:rStyle w:val="Hyperlink"/>
            <w:rFonts w:ascii="Times New Roman" w:hAnsi="Times New Roman" w:cs="Times New Roman"/>
            <w:color w:val="000000" w:themeColor="text1"/>
            <w:szCs w:val="24"/>
            <w:u w:val="none"/>
          </w:rPr>
          <w:t>https://www.who.int/eportuguese/publications/mutilacao.pdf</w:t>
        </w:r>
      </w:hyperlink>
    </w:p>
    <w:p w:rsidR="002543FF" w:rsidRPr="00DC69B4" w:rsidRDefault="002543FF" w:rsidP="00CD6E4B">
      <w:pPr>
        <w:rPr>
          <w:rFonts w:ascii="Times New Roman" w:hAnsi="Times New Roman" w:cs="Times New Roman"/>
          <w:color w:val="000000" w:themeColor="text1"/>
          <w:szCs w:val="24"/>
        </w:rPr>
      </w:pPr>
    </w:p>
    <w:p w:rsidR="00941384" w:rsidRPr="00DC69B4" w:rsidRDefault="00AF6F30" w:rsidP="00CD6E4B">
      <w:pPr>
        <w:outlineLvl w:val="0"/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</w:pPr>
      <w:r w:rsidRPr="00DC69B4">
        <w:rPr>
          <w:rFonts w:ascii="Times New Roman" w:eastAsia="Times New Roman" w:hAnsi="Times New Roman" w:cs="Times New Roman"/>
          <w:bCs/>
          <w:color w:val="000000" w:themeColor="text1"/>
          <w:spacing w:val="-6"/>
          <w:kern w:val="36"/>
          <w:szCs w:val="24"/>
          <w:lang w:eastAsia="pt-BR"/>
        </w:rPr>
        <w:t xml:space="preserve">MATUELLA, </w:t>
      </w:r>
      <w:proofErr w:type="spellStart"/>
      <w:r w:rsidRPr="00DC69B4">
        <w:rPr>
          <w:rFonts w:ascii="Times New Roman" w:eastAsia="Times New Roman" w:hAnsi="Times New Roman" w:cs="Times New Roman"/>
          <w:bCs/>
          <w:color w:val="000000" w:themeColor="text1"/>
          <w:spacing w:val="-6"/>
          <w:kern w:val="36"/>
          <w:szCs w:val="24"/>
          <w:lang w:eastAsia="pt-BR"/>
        </w:rPr>
        <w:t>Iazana</w:t>
      </w:r>
      <w:proofErr w:type="spellEnd"/>
      <w:r w:rsidRPr="00DC69B4">
        <w:rPr>
          <w:rFonts w:ascii="Times New Roman" w:eastAsia="Times New Roman" w:hAnsi="Times New Roman" w:cs="Times New Roman"/>
          <w:bCs/>
          <w:color w:val="000000" w:themeColor="text1"/>
          <w:spacing w:val="-6"/>
          <w:kern w:val="36"/>
          <w:szCs w:val="24"/>
          <w:lang w:eastAsia="pt-BR"/>
        </w:rPr>
        <w:t xml:space="preserve">. </w:t>
      </w:r>
      <w:r w:rsidRPr="00941384">
        <w:rPr>
          <w:rFonts w:ascii="Times New Roman" w:eastAsia="Times New Roman" w:hAnsi="Times New Roman" w:cs="Times New Roman"/>
          <w:bCs/>
          <w:color w:val="000000" w:themeColor="text1"/>
          <w:spacing w:val="-6"/>
          <w:kern w:val="36"/>
          <w:szCs w:val="24"/>
          <w:lang w:eastAsia="pt-BR"/>
        </w:rPr>
        <w:t>Conflitos armados e a agenda internacional: a questão da mulher</w:t>
      </w:r>
      <w:r w:rsidRPr="00DC69B4">
        <w:rPr>
          <w:rFonts w:ascii="Times New Roman" w:eastAsia="Times New Roman" w:hAnsi="Times New Roman" w:cs="Times New Roman"/>
          <w:bCs/>
          <w:color w:val="000000" w:themeColor="text1"/>
          <w:spacing w:val="-6"/>
          <w:kern w:val="36"/>
          <w:szCs w:val="24"/>
          <w:lang w:eastAsia="pt-BR"/>
        </w:rPr>
        <w:t xml:space="preserve">. </w:t>
      </w:r>
      <w:r w:rsidR="00941384" w:rsidRPr="00DC69B4">
        <w:rPr>
          <w:rFonts w:ascii="Times New Roman" w:eastAsia="Times New Roman" w:hAnsi="Times New Roman" w:cs="Times New Roman"/>
          <w:bCs/>
          <w:color w:val="000000" w:themeColor="text1"/>
          <w:szCs w:val="24"/>
          <w:lang w:eastAsia="pt-BR"/>
        </w:rPr>
        <w:t>Artigos</w:t>
      </w:r>
      <w:r w:rsidR="00941384" w:rsidRPr="00DC69B4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 xml:space="preserve"> Rev. Estud. Fem. </w:t>
      </w:r>
      <w:proofErr w:type="spellStart"/>
      <w:r w:rsidR="00941384" w:rsidRPr="00DC69B4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>Sep-Dec</w:t>
      </w:r>
      <w:proofErr w:type="spellEnd"/>
      <w:r w:rsidR="00941384" w:rsidRPr="00DC69B4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> 2017</w:t>
      </w:r>
      <w:r w:rsidRPr="00DC69B4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>. Disponível em:</w:t>
      </w:r>
      <w:r w:rsidR="00941384" w:rsidRPr="00DC69B4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> </w:t>
      </w:r>
      <w:hyperlink r:id="rId9" w:tgtFrame="_blank" w:history="1">
        <w:r w:rsidR="00941384" w:rsidRPr="00DC69B4">
          <w:rPr>
            <w:rFonts w:ascii="Times New Roman" w:eastAsia="Times New Roman" w:hAnsi="Times New Roman" w:cs="Times New Roman"/>
            <w:color w:val="000000" w:themeColor="text1"/>
            <w:szCs w:val="24"/>
            <w:lang w:eastAsia="pt-BR"/>
          </w:rPr>
          <w:t>https://doi.org/10.1590/1806-9584.2017v25n3p1277</w:t>
        </w:r>
      </w:hyperlink>
    </w:p>
    <w:p w:rsidR="00CD6E4B" w:rsidRDefault="00CD6E4B" w:rsidP="00CD6E4B">
      <w:pPr>
        <w:shd w:val="clear" w:color="auto" w:fill="FDFDFD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Cs w:val="24"/>
          <w:lang w:eastAsia="pt-BR"/>
        </w:rPr>
      </w:pPr>
    </w:p>
    <w:p w:rsidR="00CD6E4B" w:rsidRPr="00DC69B4" w:rsidRDefault="00CD6E4B" w:rsidP="00CD6E4B">
      <w:pPr>
        <w:shd w:val="clear" w:color="auto" w:fill="FDFDFD"/>
        <w:outlineLvl w:val="0"/>
        <w:rPr>
          <w:rFonts w:ascii="Times New Roman" w:hAnsi="Times New Roman" w:cs="Times New Roman"/>
          <w:color w:val="000000" w:themeColor="text1"/>
          <w:szCs w:val="24"/>
        </w:rPr>
      </w:pPr>
      <w:r w:rsidRPr="00DC69B4">
        <w:rPr>
          <w:rFonts w:ascii="Times New Roman" w:eastAsia="Times New Roman" w:hAnsi="Times New Roman" w:cs="Times New Roman"/>
          <w:color w:val="000000" w:themeColor="text1"/>
          <w:kern w:val="36"/>
          <w:szCs w:val="24"/>
          <w:lang w:eastAsia="pt-BR"/>
        </w:rPr>
        <w:t xml:space="preserve">ONTIVEROS, Eva. </w:t>
      </w:r>
      <w:r w:rsidRPr="00D05339">
        <w:rPr>
          <w:rFonts w:ascii="Times New Roman" w:eastAsia="Times New Roman" w:hAnsi="Times New Roman" w:cs="Times New Roman"/>
          <w:color w:val="000000" w:themeColor="text1"/>
          <w:kern w:val="36"/>
          <w:szCs w:val="24"/>
          <w:lang w:eastAsia="pt-BR"/>
        </w:rPr>
        <w:t>Mutilação genital feminina: o que é e por que ocorre a prática que afeta ao menos 200 milhões de mulheres</w:t>
      </w:r>
      <w:r w:rsidRPr="00DC69B4">
        <w:rPr>
          <w:rFonts w:ascii="Times New Roman" w:eastAsia="Times New Roman" w:hAnsi="Times New Roman" w:cs="Times New Roman"/>
          <w:color w:val="000000" w:themeColor="text1"/>
          <w:kern w:val="36"/>
          <w:szCs w:val="24"/>
          <w:lang w:eastAsia="pt-BR"/>
        </w:rPr>
        <w:t xml:space="preserve">. </w:t>
      </w:r>
      <w:r w:rsidRPr="00D05339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>BBC World Service</w:t>
      </w:r>
      <w:r w:rsidRPr="00DC69B4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 xml:space="preserve">: </w:t>
      </w:r>
      <w:r w:rsidRPr="00D05339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>fevereiro</w:t>
      </w:r>
      <w:r w:rsidRPr="00DC69B4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>,</w:t>
      </w:r>
      <w:r w:rsidRPr="00D05339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 xml:space="preserve"> 2019</w:t>
      </w:r>
      <w:r w:rsidRPr="00DC69B4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 xml:space="preserve">. Disponível em: </w:t>
      </w:r>
      <w:hyperlink r:id="rId10" w:history="1">
        <w:r w:rsidRPr="00DC69B4">
          <w:rPr>
            <w:rStyle w:val="Hyperlink"/>
            <w:rFonts w:ascii="Times New Roman" w:hAnsi="Times New Roman" w:cs="Times New Roman"/>
            <w:color w:val="000000" w:themeColor="text1"/>
            <w:szCs w:val="24"/>
            <w:u w:val="none"/>
          </w:rPr>
          <w:t>https://www.bbc.com/portuguese/internacional-47136842</w:t>
        </w:r>
      </w:hyperlink>
      <w:r w:rsidRPr="00DC69B4">
        <w:rPr>
          <w:rFonts w:ascii="Times New Roman" w:hAnsi="Times New Roman" w:cs="Times New Roman"/>
          <w:color w:val="000000" w:themeColor="text1"/>
          <w:szCs w:val="24"/>
        </w:rPr>
        <w:tab/>
      </w:r>
    </w:p>
    <w:p w:rsidR="00CD6E4B" w:rsidRDefault="00CD6E4B" w:rsidP="00CD6E4B">
      <w:pPr>
        <w:rPr>
          <w:rFonts w:ascii="Times New Roman" w:hAnsi="Times New Roman" w:cs="Times New Roman"/>
          <w:color w:val="000000" w:themeColor="text1"/>
          <w:szCs w:val="24"/>
        </w:rPr>
      </w:pPr>
    </w:p>
    <w:p w:rsidR="00CD6E4B" w:rsidRPr="00DC69B4" w:rsidRDefault="00CD6E4B" w:rsidP="00CD6E4B">
      <w:pPr>
        <w:rPr>
          <w:rFonts w:ascii="Times New Roman" w:hAnsi="Times New Roman" w:cs="Times New Roman"/>
          <w:color w:val="000000" w:themeColor="text1"/>
          <w:szCs w:val="24"/>
        </w:rPr>
      </w:pPr>
      <w:r w:rsidRPr="00DC69B4">
        <w:rPr>
          <w:rFonts w:ascii="Times New Roman" w:hAnsi="Times New Roman" w:cs="Times New Roman"/>
          <w:color w:val="000000" w:themeColor="text1"/>
          <w:szCs w:val="24"/>
        </w:rPr>
        <w:t>PALHARES, Dario, SQUINCA, Flávia.  Os desafios éticos da mutilação genital feminina e da circuncisão masculina.</w:t>
      </w:r>
    </w:p>
    <w:p w:rsidR="00AF6F30" w:rsidRPr="00DC69B4" w:rsidRDefault="00AF6F30" w:rsidP="00CD6E4B">
      <w:pPr>
        <w:outlineLvl w:val="0"/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</w:pPr>
    </w:p>
    <w:p w:rsidR="00DC69B4" w:rsidRPr="00941384" w:rsidRDefault="00AF6F30" w:rsidP="00CD6E4B">
      <w:pPr>
        <w:outlineLvl w:val="0"/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</w:pPr>
      <w:r w:rsidRPr="00DC69B4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>REIS, Marcus Vinicius. Multi</w:t>
      </w:r>
      <w:r w:rsidR="00DC69B4" w:rsidRPr="00DC69B4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 xml:space="preserve">culturalismo e Direitos Humanos. </w:t>
      </w:r>
      <w:r w:rsidR="00DC69B4" w:rsidRPr="00DC69B4">
        <w:rPr>
          <w:rFonts w:ascii="Times New Roman" w:hAnsi="Times New Roman" w:cs="Times New Roman"/>
          <w:color w:val="000000" w:themeColor="text1"/>
          <w:shd w:val="clear" w:color="auto" w:fill="FFFFFF"/>
        </w:rPr>
        <w:t>Senado Federal. Secretaria de Polícia</w:t>
      </w:r>
      <w:r w:rsidR="00DC69B4" w:rsidRPr="00DC69B4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2004. Disponível </w:t>
      </w:r>
      <w:proofErr w:type="gramStart"/>
      <w:r w:rsidR="00DC69B4" w:rsidRPr="00DC69B4">
        <w:rPr>
          <w:rFonts w:ascii="Times New Roman" w:hAnsi="Times New Roman" w:cs="Times New Roman"/>
          <w:color w:val="000000" w:themeColor="text1"/>
          <w:shd w:val="clear" w:color="auto" w:fill="FFFFFF"/>
        </w:rPr>
        <w:t>em:</w:t>
      </w:r>
      <w:proofErr w:type="gramEnd"/>
      <w:r w:rsidR="00DC69B4" w:rsidRPr="00DC69B4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fldChar w:fldCharType="begin"/>
      </w:r>
      <w:r w:rsidR="00DC69B4" w:rsidRPr="00DC69B4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instrText xml:space="preserve"> HYPERLINK " http://www.senado.gov.br › senado › spol › pdf</w:instrText>
      </w:r>
    </w:p>
    <w:p w:rsidR="00DC69B4" w:rsidRPr="00DC69B4" w:rsidRDefault="00DC69B4" w:rsidP="00CD6E4B">
      <w:pPr>
        <w:outlineLvl w:val="0"/>
        <w:rPr>
          <w:rStyle w:val="Hyperlink"/>
          <w:rFonts w:ascii="Times New Roman" w:eastAsia="Times New Roman" w:hAnsi="Times New Roman" w:cs="Times New Roman"/>
          <w:color w:val="000000" w:themeColor="text1"/>
          <w:szCs w:val="24"/>
          <w:u w:val="none"/>
          <w:lang w:eastAsia="pt-BR"/>
        </w:rPr>
      </w:pPr>
      <w:r w:rsidRPr="00DC69B4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instrText xml:space="preserve">" </w:instrText>
      </w:r>
      <w:r w:rsidRPr="00DC69B4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fldChar w:fldCharType="separate"/>
      </w:r>
      <w:r w:rsidRPr="00DC69B4">
        <w:rPr>
          <w:rStyle w:val="Hyperlink"/>
          <w:rFonts w:ascii="Times New Roman" w:eastAsia="Times New Roman" w:hAnsi="Times New Roman" w:cs="Times New Roman"/>
          <w:color w:val="000000" w:themeColor="text1"/>
          <w:szCs w:val="24"/>
          <w:u w:val="none"/>
          <w:lang w:eastAsia="pt-BR"/>
        </w:rPr>
        <w:t xml:space="preserve"> http://www.senado.gov.br › senado › spol › pdf</w:t>
      </w:r>
    </w:p>
    <w:p w:rsidR="00CD6E4B" w:rsidRDefault="00DC69B4" w:rsidP="00CD6E4B">
      <w:pPr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</w:pPr>
      <w:r w:rsidRPr="00DC69B4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fldChar w:fldCharType="end"/>
      </w:r>
    </w:p>
    <w:p w:rsidR="00CD6E4B" w:rsidRPr="00DC69B4" w:rsidRDefault="00CD6E4B" w:rsidP="00CD6E4B">
      <w:pPr>
        <w:rPr>
          <w:rFonts w:ascii="Times New Roman" w:hAnsi="Times New Roman" w:cs="Times New Roman"/>
          <w:color w:val="000000" w:themeColor="text1"/>
          <w:szCs w:val="24"/>
        </w:rPr>
      </w:pPr>
      <w:r w:rsidRPr="00DC69B4">
        <w:rPr>
          <w:rFonts w:ascii="Times New Roman" w:hAnsi="Times New Roman" w:cs="Times New Roman"/>
          <w:color w:val="000000" w:themeColor="text1"/>
          <w:szCs w:val="24"/>
        </w:rPr>
        <w:t xml:space="preserve">SILVA, Edna Estêvão </w:t>
      </w:r>
      <w:proofErr w:type="gramStart"/>
      <w:r w:rsidRPr="00DC69B4">
        <w:rPr>
          <w:rFonts w:ascii="Times New Roman" w:hAnsi="Times New Roman" w:cs="Times New Roman"/>
          <w:color w:val="000000" w:themeColor="text1"/>
          <w:szCs w:val="24"/>
        </w:rPr>
        <w:t>da.</w:t>
      </w:r>
      <w:proofErr w:type="gramEnd"/>
      <w:r w:rsidRPr="00DC69B4">
        <w:rPr>
          <w:rFonts w:ascii="Times New Roman" w:hAnsi="Times New Roman" w:cs="Times New Roman"/>
          <w:color w:val="000000" w:themeColor="text1"/>
          <w:szCs w:val="24"/>
        </w:rPr>
        <w:t xml:space="preserve"> Discursos e Representações Sobre a Prática da Mutilação Genital Feminina na Comunidade Guineense em Portugal. 2012.</w:t>
      </w:r>
    </w:p>
    <w:p w:rsidR="00941384" w:rsidRPr="00DC69B4" w:rsidRDefault="00941384" w:rsidP="00CD6E4B">
      <w:pPr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</w:pPr>
    </w:p>
    <w:p w:rsidR="00941384" w:rsidRPr="00DC69B4" w:rsidRDefault="00DC69B4" w:rsidP="00CD6E4B">
      <w:pPr>
        <w:rPr>
          <w:rFonts w:ascii="Times New Roman" w:hAnsi="Times New Roman" w:cs="Times New Roman"/>
          <w:color w:val="000000" w:themeColor="text1"/>
          <w:szCs w:val="24"/>
        </w:rPr>
      </w:pPr>
      <w:r w:rsidRPr="00DC69B4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 xml:space="preserve">TOLENTINO, Celia, et. Al. </w:t>
      </w:r>
      <w:r w:rsidRPr="00DC69B4">
        <w:rPr>
          <w:rFonts w:ascii="Times New Roman" w:hAnsi="Times New Roman" w:cs="Times New Roman"/>
          <w:color w:val="000000" w:themeColor="text1"/>
          <w:szCs w:val="24"/>
        </w:rPr>
        <w:t>Ideias</w:t>
      </w:r>
      <w:r w:rsidR="00941384" w:rsidRPr="00DC69B4">
        <w:rPr>
          <w:rFonts w:ascii="Times New Roman" w:hAnsi="Times New Roman" w:cs="Times New Roman"/>
          <w:color w:val="000000" w:themeColor="text1"/>
          <w:szCs w:val="24"/>
        </w:rPr>
        <w:t xml:space="preserve"> e Cultura nas Relações Internacionais / organização de Célia Ap. Tolentino, Lídia M. Vianna Possas e R</w:t>
      </w:r>
      <w:r>
        <w:rPr>
          <w:rFonts w:ascii="Times New Roman" w:hAnsi="Times New Roman" w:cs="Times New Roman"/>
          <w:color w:val="000000" w:themeColor="text1"/>
          <w:szCs w:val="24"/>
        </w:rPr>
        <w:t>odrigo Alves Correia. – Marília</w:t>
      </w:r>
      <w:r w:rsidR="00941384" w:rsidRPr="00DC69B4">
        <w:rPr>
          <w:rFonts w:ascii="Times New Roman" w:hAnsi="Times New Roman" w:cs="Times New Roman"/>
          <w:color w:val="000000" w:themeColor="text1"/>
          <w:szCs w:val="24"/>
        </w:rPr>
        <w:t>: Editora Oficina Universitária, 2007. 130 p</w:t>
      </w:r>
      <w:r w:rsidRPr="00DC69B4">
        <w:rPr>
          <w:rFonts w:ascii="Times New Roman" w:hAnsi="Times New Roman" w:cs="Times New Roman"/>
          <w:color w:val="000000" w:themeColor="text1"/>
          <w:szCs w:val="24"/>
        </w:rPr>
        <w:t>.</w:t>
      </w:r>
      <w:r w:rsidR="00941384" w:rsidRPr="00DC69B4">
        <w:rPr>
          <w:rFonts w:ascii="Times New Roman" w:hAnsi="Times New Roman" w:cs="Times New Roman"/>
          <w:color w:val="000000" w:themeColor="text1"/>
          <w:szCs w:val="24"/>
        </w:rPr>
        <w:t xml:space="preserve"> 22.</w:t>
      </w:r>
    </w:p>
    <w:p w:rsidR="00DC69B4" w:rsidRDefault="00DC69B4" w:rsidP="00CD6E4B">
      <w:pPr>
        <w:rPr>
          <w:rFonts w:ascii="Times New Roman" w:hAnsi="Times New Roman" w:cs="Times New Roman"/>
          <w:color w:val="000000" w:themeColor="text1"/>
          <w:szCs w:val="24"/>
        </w:rPr>
      </w:pPr>
    </w:p>
    <w:p w:rsidR="00DC69B4" w:rsidRPr="00DC69B4" w:rsidRDefault="00DC69B4" w:rsidP="00CD6E4B">
      <w:pPr>
        <w:rPr>
          <w:rFonts w:ascii="Times New Roman" w:hAnsi="Times New Roman" w:cs="Times New Roman"/>
          <w:color w:val="000000" w:themeColor="text1"/>
          <w:szCs w:val="24"/>
        </w:rPr>
      </w:pPr>
      <w:r w:rsidRPr="00DC69B4">
        <w:rPr>
          <w:rFonts w:ascii="Times New Roman" w:hAnsi="Times New Roman" w:cs="Times New Roman"/>
          <w:color w:val="000000" w:themeColor="text1"/>
          <w:szCs w:val="24"/>
        </w:rPr>
        <w:t xml:space="preserve">TOMAZON, Larissa. </w:t>
      </w:r>
      <w:r>
        <w:rPr>
          <w:rFonts w:ascii="Times New Roman" w:hAnsi="Times New Roman" w:cs="Times New Roman"/>
          <w:color w:val="000000" w:themeColor="text1"/>
          <w:szCs w:val="24"/>
        </w:rPr>
        <w:t>Mutilação Genital Feminina e concessão de refúgio com base no gênero</w:t>
      </w:r>
      <w:r w:rsidRPr="00DC69B4">
        <w:rPr>
          <w:rFonts w:ascii="Times New Roman" w:hAnsi="Times New Roman" w:cs="Times New Roman"/>
          <w:color w:val="000000" w:themeColor="text1"/>
          <w:szCs w:val="24"/>
        </w:rPr>
        <w:t>. FAE: 2017.</w:t>
      </w:r>
    </w:p>
    <w:p w:rsidR="00DC69B4" w:rsidRDefault="00DC69B4" w:rsidP="00CD6E4B">
      <w:pPr>
        <w:shd w:val="clear" w:color="auto" w:fill="FFFFFF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Cs w:val="24"/>
          <w:lang w:eastAsia="pt-BR"/>
        </w:rPr>
      </w:pPr>
    </w:p>
    <w:p w:rsidR="00DC69B4" w:rsidRPr="00FA25C3" w:rsidRDefault="00DC69B4" w:rsidP="00CD6E4B">
      <w:pPr>
        <w:shd w:val="clear" w:color="auto" w:fill="FFFFFF"/>
        <w:outlineLvl w:val="0"/>
        <w:rPr>
          <w:rFonts w:ascii="Times New Roman" w:eastAsia="Times New Roman" w:hAnsi="Times New Roman" w:cs="Times New Roman"/>
          <w:bCs/>
          <w:color w:val="000000" w:themeColor="text1"/>
          <w:szCs w:val="24"/>
          <w:lang w:eastAsia="pt-BR"/>
        </w:rPr>
      </w:pPr>
      <w:r w:rsidRPr="00DC69B4">
        <w:rPr>
          <w:rFonts w:ascii="Times New Roman" w:eastAsia="Times New Roman" w:hAnsi="Times New Roman" w:cs="Times New Roman"/>
          <w:color w:val="000000" w:themeColor="text1"/>
          <w:kern w:val="36"/>
          <w:szCs w:val="24"/>
          <w:lang w:eastAsia="pt-BR"/>
        </w:rPr>
        <w:t xml:space="preserve">VALDEZ, Robson C.C.; JUBRAN, Bruno. </w:t>
      </w:r>
      <w:r w:rsidRPr="00FA25C3">
        <w:rPr>
          <w:rFonts w:ascii="Times New Roman" w:eastAsia="Times New Roman" w:hAnsi="Times New Roman" w:cs="Times New Roman"/>
          <w:color w:val="000000" w:themeColor="text1"/>
          <w:kern w:val="36"/>
          <w:szCs w:val="24"/>
          <w:lang w:eastAsia="pt-BR"/>
        </w:rPr>
        <w:t>Relações internacionais: conceitos básicos e aspectos teóricos</w:t>
      </w:r>
      <w:r w:rsidRPr="00DC69B4">
        <w:rPr>
          <w:rFonts w:ascii="Times New Roman" w:eastAsia="Times New Roman" w:hAnsi="Times New Roman" w:cs="Times New Roman"/>
          <w:color w:val="000000" w:themeColor="text1"/>
          <w:kern w:val="36"/>
          <w:szCs w:val="24"/>
          <w:lang w:eastAsia="pt-BR"/>
        </w:rPr>
        <w:t xml:space="preserve">. </w:t>
      </w:r>
      <w:r w:rsidRPr="00FA25C3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>Junho de 2015</w:t>
      </w:r>
      <w:r w:rsidRPr="00DC69B4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 xml:space="preserve">. </w:t>
      </w:r>
    </w:p>
    <w:p w:rsidR="00941384" w:rsidRPr="00DC69B4" w:rsidRDefault="00941384" w:rsidP="00CD6E4B">
      <w:pPr>
        <w:ind w:firstLine="708"/>
        <w:rPr>
          <w:rFonts w:ascii="Times New Roman" w:hAnsi="Times New Roman" w:cs="Times New Roman"/>
          <w:color w:val="000000" w:themeColor="text1"/>
          <w:szCs w:val="24"/>
        </w:rPr>
      </w:pPr>
    </w:p>
    <w:p w:rsidR="00CD6E4B" w:rsidRPr="00CD6E4B" w:rsidRDefault="00DC69B4" w:rsidP="00CD6E4B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</w:pPr>
      <w:r w:rsidRPr="00DC69B4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 xml:space="preserve">VASILE, Thiago. </w:t>
      </w:r>
      <w:r w:rsidR="00941384" w:rsidRPr="00941384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>História das Relações Internacionais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 xml:space="preserve"> Contemporâneas</w:t>
      </w:r>
      <w:r w:rsidRPr="00DC69B4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 xml:space="preserve"> </w:t>
      </w:r>
      <w:r w:rsidR="00CD6E4B">
        <w:rPr>
          <w:rFonts w:ascii="Times New Roman" w:eastAsia="Times New Roman" w:hAnsi="Times New Roman" w:cs="Times New Roman"/>
          <w:color w:val="000000" w:themeColor="text1"/>
          <w:szCs w:val="24"/>
          <w:lang w:eastAsia="pt-BR"/>
        </w:rPr>
        <w:t>Saraiva: 2007.</w:t>
      </w:r>
      <w:bookmarkStart w:id="0" w:name="_GoBack"/>
      <w:bookmarkEnd w:id="0"/>
    </w:p>
    <w:sectPr w:rsidR="00CD6E4B" w:rsidRPr="00CD6E4B" w:rsidSect="00A00EAF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6388"/>
    <w:multiLevelType w:val="multilevel"/>
    <w:tmpl w:val="57FCC8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49D2E24"/>
    <w:multiLevelType w:val="multilevel"/>
    <w:tmpl w:val="AC06D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CD6258"/>
    <w:multiLevelType w:val="multilevel"/>
    <w:tmpl w:val="4D0E8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4709CB"/>
    <w:multiLevelType w:val="hybridMultilevel"/>
    <w:tmpl w:val="A762067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593A3D92"/>
    <w:multiLevelType w:val="hybridMultilevel"/>
    <w:tmpl w:val="9D540F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CD68EE"/>
    <w:multiLevelType w:val="multilevel"/>
    <w:tmpl w:val="8F369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8664CB"/>
    <w:multiLevelType w:val="hybridMultilevel"/>
    <w:tmpl w:val="5252798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55651A"/>
    <w:multiLevelType w:val="multilevel"/>
    <w:tmpl w:val="D2661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CBD3418"/>
    <w:multiLevelType w:val="multilevel"/>
    <w:tmpl w:val="8F0AE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7"/>
  </w:num>
  <w:num w:numId="5">
    <w:abstractNumId w:val="2"/>
  </w:num>
  <w:num w:numId="6">
    <w:abstractNumId w:val="8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1C2"/>
    <w:rsid w:val="0000049A"/>
    <w:rsid w:val="000377A5"/>
    <w:rsid w:val="000410F4"/>
    <w:rsid w:val="00093696"/>
    <w:rsid w:val="00094031"/>
    <w:rsid w:val="000B57BF"/>
    <w:rsid w:val="000B6431"/>
    <w:rsid w:val="000D7025"/>
    <w:rsid w:val="000E2144"/>
    <w:rsid w:val="000F0B79"/>
    <w:rsid w:val="000F2CC2"/>
    <w:rsid w:val="00103104"/>
    <w:rsid w:val="0010323E"/>
    <w:rsid w:val="00131BAB"/>
    <w:rsid w:val="00152176"/>
    <w:rsid w:val="00165115"/>
    <w:rsid w:val="001814C5"/>
    <w:rsid w:val="001A21C9"/>
    <w:rsid w:val="001D2E1F"/>
    <w:rsid w:val="00201D97"/>
    <w:rsid w:val="002207D6"/>
    <w:rsid w:val="00224531"/>
    <w:rsid w:val="002543FF"/>
    <w:rsid w:val="00265452"/>
    <w:rsid w:val="00295B8B"/>
    <w:rsid w:val="002D515F"/>
    <w:rsid w:val="003067D6"/>
    <w:rsid w:val="0031152D"/>
    <w:rsid w:val="0031482A"/>
    <w:rsid w:val="0033023D"/>
    <w:rsid w:val="003616E5"/>
    <w:rsid w:val="00366667"/>
    <w:rsid w:val="003A4A5D"/>
    <w:rsid w:val="003B7881"/>
    <w:rsid w:val="003B7BB8"/>
    <w:rsid w:val="003D3533"/>
    <w:rsid w:val="0040386A"/>
    <w:rsid w:val="0044012F"/>
    <w:rsid w:val="00471C33"/>
    <w:rsid w:val="00473335"/>
    <w:rsid w:val="004876D8"/>
    <w:rsid w:val="004D646C"/>
    <w:rsid w:val="004E5920"/>
    <w:rsid w:val="004E7593"/>
    <w:rsid w:val="00513BD3"/>
    <w:rsid w:val="005227DB"/>
    <w:rsid w:val="00536919"/>
    <w:rsid w:val="005661C1"/>
    <w:rsid w:val="00567DF9"/>
    <w:rsid w:val="00576C15"/>
    <w:rsid w:val="0058068C"/>
    <w:rsid w:val="00594B46"/>
    <w:rsid w:val="005A31C2"/>
    <w:rsid w:val="005A34C3"/>
    <w:rsid w:val="005C1936"/>
    <w:rsid w:val="005C2BC2"/>
    <w:rsid w:val="00614D0B"/>
    <w:rsid w:val="00634EE8"/>
    <w:rsid w:val="00636F0C"/>
    <w:rsid w:val="006845F4"/>
    <w:rsid w:val="00691F7C"/>
    <w:rsid w:val="006A3E9F"/>
    <w:rsid w:val="006E228C"/>
    <w:rsid w:val="006F49C7"/>
    <w:rsid w:val="0072393D"/>
    <w:rsid w:val="0078499F"/>
    <w:rsid w:val="00785495"/>
    <w:rsid w:val="0079386C"/>
    <w:rsid w:val="00795CF6"/>
    <w:rsid w:val="007B2E41"/>
    <w:rsid w:val="007C2C7E"/>
    <w:rsid w:val="007D0336"/>
    <w:rsid w:val="007D360D"/>
    <w:rsid w:val="007D54B8"/>
    <w:rsid w:val="007E1347"/>
    <w:rsid w:val="00836C30"/>
    <w:rsid w:val="0085072A"/>
    <w:rsid w:val="00852BB7"/>
    <w:rsid w:val="00881593"/>
    <w:rsid w:val="0088745F"/>
    <w:rsid w:val="008D6019"/>
    <w:rsid w:val="008D763A"/>
    <w:rsid w:val="008E1D69"/>
    <w:rsid w:val="008F2263"/>
    <w:rsid w:val="00907CDD"/>
    <w:rsid w:val="00941384"/>
    <w:rsid w:val="009D07FB"/>
    <w:rsid w:val="00A00EAF"/>
    <w:rsid w:val="00A14A00"/>
    <w:rsid w:val="00A77CCF"/>
    <w:rsid w:val="00AA0A8E"/>
    <w:rsid w:val="00AF6F30"/>
    <w:rsid w:val="00B2091B"/>
    <w:rsid w:val="00B8236E"/>
    <w:rsid w:val="00C10FCE"/>
    <w:rsid w:val="00C17888"/>
    <w:rsid w:val="00C3614F"/>
    <w:rsid w:val="00C3634F"/>
    <w:rsid w:val="00C63372"/>
    <w:rsid w:val="00C943FB"/>
    <w:rsid w:val="00CB4DB7"/>
    <w:rsid w:val="00CB5B99"/>
    <w:rsid w:val="00CB7FC8"/>
    <w:rsid w:val="00CD2B2D"/>
    <w:rsid w:val="00CD6E4B"/>
    <w:rsid w:val="00CE5AEA"/>
    <w:rsid w:val="00D05339"/>
    <w:rsid w:val="00D33E46"/>
    <w:rsid w:val="00D7138E"/>
    <w:rsid w:val="00DC69B4"/>
    <w:rsid w:val="00DF6B48"/>
    <w:rsid w:val="00E04B7E"/>
    <w:rsid w:val="00E71BC5"/>
    <w:rsid w:val="00E7693B"/>
    <w:rsid w:val="00EA1956"/>
    <w:rsid w:val="00EE59F8"/>
    <w:rsid w:val="00EE798E"/>
    <w:rsid w:val="00F338A3"/>
    <w:rsid w:val="00F37B46"/>
    <w:rsid w:val="00F65517"/>
    <w:rsid w:val="00F8743A"/>
    <w:rsid w:val="00FA25C3"/>
    <w:rsid w:val="00FE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A8E"/>
    <w:pPr>
      <w:spacing w:after="0" w:line="240" w:lineRule="auto"/>
    </w:pPr>
    <w:rPr>
      <w:rFonts w:ascii="Arial" w:eastAsia="PMingLiU" w:hAnsi="Arial"/>
      <w:sz w:val="24"/>
      <w:szCs w:val="20"/>
      <w:lang w:eastAsia="zh-TW"/>
    </w:rPr>
  </w:style>
  <w:style w:type="paragraph" w:styleId="Ttulo1">
    <w:name w:val="heading 1"/>
    <w:basedOn w:val="Normal"/>
    <w:next w:val="Normal"/>
    <w:link w:val="Ttulo1Char"/>
    <w:uiPriority w:val="9"/>
    <w:qFormat/>
    <w:rsid w:val="00AA0A8E"/>
    <w:pPr>
      <w:widowControl w:val="0"/>
      <w:outlineLvl w:val="0"/>
    </w:pPr>
    <w:rPr>
      <w:rFonts w:cs="Times New Roman"/>
      <w:b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A0A8E"/>
    <w:pPr>
      <w:keepNext/>
      <w:keepLines/>
      <w:spacing w:before="40"/>
      <w:outlineLvl w:val="1"/>
    </w:pPr>
    <w:rPr>
      <w:rFonts w:eastAsiaTheme="majorEastAsia" w:cstheme="majorBidi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AA0A8E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A0A8E"/>
    <w:pPr>
      <w:keepNext/>
      <w:keepLines/>
      <w:spacing w:before="40" w:line="360" w:lineRule="auto"/>
      <w:outlineLvl w:val="3"/>
    </w:pPr>
    <w:rPr>
      <w:rFonts w:eastAsiaTheme="majorEastAsia" w:cstheme="majorBidi"/>
      <w:i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grafodaLista1">
    <w:name w:val="Parágrafo da Lista1"/>
    <w:basedOn w:val="Normal"/>
    <w:uiPriority w:val="7"/>
    <w:qFormat/>
    <w:rsid w:val="00AA0A8E"/>
    <w:pPr>
      <w:spacing w:after="160" w:line="259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AA0A8E"/>
    <w:rPr>
      <w:rFonts w:ascii="Arial" w:eastAsia="PMingLiU" w:hAnsi="Arial" w:cs="Times New Roman"/>
      <w:b/>
      <w:sz w:val="24"/>
      <w:szCs w:val="20"/>
      <w:lang w:eastAsia="zh-TW"/>
    </w:rPr>
  </w:style>
  <w:style w:type="character" w:customStyle="1" w:styleId="Ttulo2Char">
    <w:name w:val="Título 2 Char"/>
    <w:basedOn w:val="Fontepargpadro"/>
    <w:link w:val="Ttulo2"/>
    <w:uiPriority w:val="9"/>
    <w:rsid w:val="00AA0A8E"/>
    <w:rPr>
      <w:rFonts w:ascii="Arial" w:eastAsiaTheme="majorEastAsia" w:hAnsi="Arial" w:cstheme="majorBidi"/>
      <w:sz w:val="24"/>
      <w:szCs w:val="26"/>
      <w:lang w:eastAsia="zh-TW"/>
    </w:rPr>
  </w:style>
  <w:style w:type="character" w:customStyle="1" w:styleId="Ttulo3Char">
    <w:name w:val="Título 3 Char"/>
    <w:basedOn w:val="Fontepargpadro"/>
    <w:link w:val="Ttulo3"/>
    <w:uiPriority w:val="9"/>
    <w:rsid w:val="00AA0A8E"/>
    <w:rPr>
      <w:rFonts w:ascii="Arial" w:eastAsiaTheme="majorEastAsia" w:hAnsi="Arial" w:cstheme="majorBidi"/>
      <w:b/>
      <w:color w:val="000000" w:themeColor="text1"/>
      <w:sz w:val="24"/>
      <w:szCs w:val="24"/>
      <w:lang w:eastAsia="zh-TW"/>
    </w:rPr>
  </w:style>
  <w:style w:type="character" w:customStyle="1" w:styleId="Ttulo4Char">
    <w:name w:val="Título 4 Char"/>
    <w:basedOn w:val="Fontepargpadro"/>
    <w:link w:val="Ttulo4"/>
    <w:uiPriority w:val="9"/>
    <w:rsid w:val="00AA0A8E"/>
    <w:rPr>
      <w:rFonts w:ascii="Arial" w:eastAsiaTheme="majorEastAsia" w:hAnsi="Arial" w:cstheme="majorBidi"/>
      <w:iCs/>
      <w:sz w:val="24"/>
      <w:szCs w:val="20"/>
      <w:lang w:eastAsia="zh-TW"/>
    </w:rPr>
  </w:style>
  <w:style w:type="paragraph" w:styleId="Ttulo">
    <w:name w:val="Title"/>
    <w:basedOn w:val="Normal"/>
    <w:link w:val="TtuloChar"/>
    <w:qFormat/>
    <w:rsid w:val="00AA0A8E"/>
    <w:rPr>
      <w:rFonts w:cs="Times New Roman"/>
      <w:b/>
      <w:color w:val="000000" w:themeColor="text1"/>
    </w:rPr>
  </w:style>
  <w:style w:type="character" w:customStyle="1" w:styleId="TtuloChar">
    <w:name w:val="Título Char"/>
    <w:basedOn w:val="Fontepargpadro"/>
    <w:link w:val="Ttulo"/>
    <w:rsid w:val="00AA0A8E"/>
    <w:rPr>
      <w:rFonts w:ascii="Arial" w:eastAsia="PMingLiU" w:hAnsi="Arial" w:cs="Times New Roman"/>
      <w:b/>
      <w:color w:val="000000" w:themeColor="text1"/>
      <w:sz w:val="24"/>
      <w:szCs w:val="20"/>
      <w:lang w:eastAsia="zh-TW"/>
    </w:rPr>
  </w:style>
  <w:style w:type="paragraph" w:styleId="Subttulo">
    <w:name w:val="Subtitle"/>
    <w:basedOn w:val="Normal"/>
    <w:link w:val="SubttuloChar"/>
    <w:qFormat/>
    <w:rsid w:val="00AA0A8E"/>
    <w:pPr>
      <w:jc w:val="center"/>
    </w:pPr>
    <w:rPr>
      <w:rFonts w:eastAsia="Times New Roman" w:cs="Arial"/>
      <w:b/>
      <w:bCs/>
      <w:sz w:val="40"/>
      <w:szCs w:val="24"/>
      <w:lang w:eastAsia="pt-BR"/>
    </w:rPr>
  </w:style>
  <w:style w:type="character" w:customStyle="1" w:styleId="SubttuloChar">
    <w:name w:val="Subtítulo Char"/>
    <w:basedOn w:val="Fontepargpadro"/>
    <w:link w:val="Subttulo"/>
    <w:rsid w:val="00AA0A8E"/>
    <w:rPr>
      <w:rFonts w:ascii="Arial" w:eastAsia="Times New Roman" w:hAnsi="Arial" w:cs="Arial"/>
      <w:b/>
      <w:bCs/>
      <w:sz w:val="40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A0A8E"/>
    <w:rPr>
      <w:b/>
      <w:bCs/>
    </w:rPr>
  </w:style>
  <w:style w:type="character" w:styleId="nfase">
    <w:name w:val="Emphasis"/>
    <w:basedOn w:val="Fontepargpadro"/>
    <w:uiPriority w:val="20"/>
    <w:qFormat/>
    <w:rsid w:val="00AA0A8E"/>
    <w:rPr>
      <w:i/>
      <w:iCs/>
    </w:rPr>
  </w:style>
  <w:style w:type="paragraph" w:styleId="PargrafodaLista">
    <w:name w:val="List Paragraph"/>
    <w:basedOn w:val="Normal"/>
    <w:uiPriority w:val="34"/>
    <w:qFormat/>
    <w:rsid w:val="00AA0A8E"/>
    <w:pPr>
      <w:spacing w:after="160" w:line="259" w:lineRule="auto"/>
      <w:ind w:left="720"/>
      <w:contextualSpacing/>
    </w:pPr>
    <w:rPr>
      <w:rFonts w:eastAsiaTheme="minorHAnsi"/>
      <w:b/>
      <w:szCs w:val="22"/>
      <w:lang w:eastAsia="en-US"/>
    </w:rPr>
  </w:style>
  <w:style w:type="character" w:styleId="nfaseSutil">
    <w:name w:val="Subtle Emphasis"/>
    <w:aliases w:val="Titulo 3"/>
    <w:basedOn w:val="Fontepargpadro"/>
    <w:uiPriority w:val="19"/>
    <w:qFormat/>
    <w:rsid w:val="00AA0A8E"/>
    <w:rPr>
      <w:rFonts w:ascii="Arial" w:hAnsi="Arial"/>
      <w:b/>
      <w:i w:val="0"/>
      <w:iCs/>
      <w:color w:val="000000" w:themeColor="text1"/>
      <w:sz w:val="24"/>
    </w:rPr>
  </w:style>
  <w:style w:type="paragraph" w:styleId="CabealhodoSumrio">
    <w:name w:val="TOC Heading"/>
    <w:basedOn w:val="Ttulo1"/>
    <w:next w:val="Normal"/>
    <w:uiPriority w:val="39"/>
    <w:unhideWhenUsed/>
    <w:qFormat/>
    <w:rsid w:val="00AA0A8E"/>
    <w:pPr>
      <w:keepNext/>
      <w:keepLines/>
      <w:widowControl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pt-BR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AA0A8E"/>
    <w:pPr>
      <w:spacing w:after="200"/>
    </w:pPr>
    <w:rPr>
      <w:rFonts w:cs="Times New Roman"/>
      <w:b/>
      <w:bCs/>
      <w:color w:val="5B9BD5" w:themeColor="accent1"/>
      <w:sz w:val="18"/>
      <w:szCs w:val="18"/>
    </w:rPr>
  </w:style>
  <w:style w:type="character" w:styleId="RefernciaIntensa">
    <w:name w:val="Intense Reference"/>
    <w:basedOn w:val="Fontepargpadro"/>
    <w:uiPriority w:val="32"/>
    <w:qFormat/>
    <w:rsid w:val="00AA0A8E"/>
    <w:rPr>
      <w:b/>
      <w:bCs/>
      <w:smallCaps/>
      <w:color w:val="ED7D31" w:themeColor="accent2"/>
      <w:spacing w:val="5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7BB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7BB8"/>
    <w:rPr>
      <w:rFonts w:ascii="Tahoma" w:eastAsia="PMingLiU" w:hAnsi="Tahoma" w:cs="Tahoma"/>
      <w:sz w:val="16"/>
      <w:szCs w:val="16"/>
      <w:lang w:eastAsia="zh-TW"/>
    </w:rPr>
  </w:style>
  <w:style w:type="character" w:customStyle="1" w:styleId="articlebadge">
    <w:name w:val="_articlebadge"/>
    <w:basedOn w:val="Fontepargpadro"/>
    <w:rsid w:val="00941384"/>
  </w:style>
  <w:style w:type="character" w:customStyle="1" w:styleId="separator">
    <w:name w:val="_separator"/>
    <w:basedOn w:val="Fontepargpadro"/>
    <w:rsid w:val="00941384"/>
  </w:style>
  <w:style w:type="character" w:customStyle="1" w:styleId="editionmeta">
    <w:name w:val="_editionmeta"/>
    <w:basedOn w:val="Fontepargpadro"/>
    <w:rsid w:val="00941384"/>
  </w:style>
  <w:style w:type="character" w:customStyle="1" w:styleId="group-doi">
    <w:name w:val="group-doi"/>
    <w:basedOn w:val="Fontepargpadro"/>
    <w:rsid w:val="00941384"/>
  </w:style>
  <w:style w:type="character" w:styleId="Hyperlink">
    <w:name w:val="Hyperlink"/>
    <w:basedOn w:val="Fontepargpadro"/>
    <w:uiPriority w:val="99"/>
    <w:unhideWhenUsed/>
    <w:rsid w:val="00941384"/>
    <w:rPr>
      <w:color w:val="0000FF"/>
      <w:u w:val="single"/>
    </w:rPr>
  </w:style>
  <w:style w:type="character" w:styleId="CitaoHTML">
    <w:name w:val="HTML Cite"/>
    <w:basedOn w:val="Fontepargpadro"/>
    <w:uiPriority w:val="99"/>
    <w:semiHidden/>
    <w:unhideWhenUsed/>
    <w:rsid w:val="00941384"/>
    <w:rPr>
      <w:i/>
      <w:iCs/>
    </w:rPr>
  </w:style>
  <w:style w:type="character" w:customStyle="1" w:styleId="dyjrff">
    <w:name w:val="dyjrff"/>
    <w:basedOn w:val="Fontepargpadro"/>
    <w:rsid w:val="009413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A8E"/>
    <w:pPr>
      <w:spacing w:after="0" w:line="240" w:lineRule="auto"/>
    </w:pPr>
    <w:rPr>
      <w:rFonts w:ascii="Arial" w:eastAsia="PMingLiU" w:hAnsi="Arial"/>
      <w:sz w:val="24"/>
      <w:szCs w:val="20"/>
      <w:lang w:eastAsia="zh-TW"/>
    </w:rPr>
  </w:style>
  <w:style w:type="paragraph" w:styleId="Ttulo1">
    <w:name w:val="heading 1"/>
    <w:basedOn w:val="Normal"/>
    <w:next w:val="Normal"/>
    <w:link w:val="Ttulo1Char"/>
    <w:uiPriority w:val="9"/>
    <w:qFormat/>
    <w:rsid w:val="00AA0A8E"/>
    <w:pPr>
      <w:widowControl w:val="0"/>
      <w:outlineLvl w:val="0"/>
    </w:pPr>
    <w:rPr>
      <w:rFonts w:cs="Times New Roman"/>
      <w:b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A0A8E"/>
    <w:pPr>
      <w:keepNext/>
      <w:keepLines/>
      <w:spacing w:before="40"/>
      <w:outlineLvl w:val="1"/>
    </w:pPr>
    <w:rPr>
      <w:rFonts w:eastAsiaTheme="majorEastAsia" w:cstheme="majorBidi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AA0A8E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A0A8E"/>
    <w:pPr>
      <w:keepNext/>
      <w:keepLines/>
      <w:spacing w:before="40" w:line="360" w:lineRule="auto"/>
      <w:outlineLvl w:val="3"/>
    </w:pPr>
    <w:rPr>
      <w:rFonts w:eastAsiaTheme="majorEastAsia" w:cstheme="majorBidi"/>
      <w:i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grafodaLista1">
    <w:name w:val="Parágrafo da Lista1"/>
    <w:basedOn w:val="Normal"/>
    <w:uiPriority w:val="7"/>
    <w:qFormat/>
    <w:rsid w:val="00AA0A8E"/>
    <w:pPr>
      <w:spacing w:after="160" w:line="259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AA0A8E"/>
    <w:rPr>
      <w:rFonts w:ascii="Arial" w:eastAsia="PMingLiU" w:hAnsi="Arial" w:cs="Times New Roman"/>
      <w:b/>
      <w:sz w:val="24"/>
      <w:szCs w:val="20"/>
      <w:lang w:eastAsia="zh-TW"/>
    </w:rPr>
  </w:style>
  <w:style w:type="character" w:customStyle="1" w:styleId="Ttulo2Char">
    <w:name w:val="Título 2 Char"/>
    <w:basedOn w:val="Fontepargpadro"/>
    <w:link w:val="Ttulo2"/>
    <w:uiPriority w:val="9"/>
    <w:rsid w:val="00AA0A8E"/>
    <w:rPr>
      <w:rFonts w:ascii="Arial" w:eastAsiaTheme="majorEastAsia" w:hAnsi="Arial" w:cstheme="majorBidi"/>
      <w:sz w:val="24"/>
      <w:szCs w:val="26"/>
      <w:lang w:eastAsia="zh-TW"/>
    </w:rPr>
  </w:style>
  <w:style w:type="character" w:customStyle="1" w:styleId="Ttulo3Char">
    <w:name w:val="Título 3 Char"/>
    <w:basedOn w:val="Fontepargpadro"/>
    <w:link w:val="Ttulo3"/>
    <w:uiPriority w:val="9"/>
    <w:rsid w:val="00AA0A8E"/>
    <w:rPr>
      <w:rFonts w:ascii="Arial" w:eastAsiaTheme="majorEastAsia" w:hAnsi="Arial" w:cstheme="majorBidi"/>
      <w:b/>
      <w:color w:val="000000" w:themeColor="text1"/>
      <w:sz w:val="24"/>
      <w:szCs w:val="24"/>
      <w:lang w:eastAsia="zh-TW"/>
    </w:rPr>
  </w:style>
  <w:style w:type="character" w:customStyle="1" w:styleId="Ttulo4Char">
    <w:name w:val="Título 4 Char"/>
    <w:basedOn w:val="Fontepargpadro"/>
    <w:link w:val="Ttulo4"/>
    <w:uiPriority w:val="9"/>
    <w:rsid w:val="00AA0A8E"/>
    <w:rPr>
      <w:rFonts w:ascii="Arial" w:eastAsiaTheme="majorEastAsia" w:hAnsi="Arial" w:cstheme="majorBidi"/>
      <w:iCs/>
      <w:sz w:val="24"/>
      <w:szCs w:val="20"/>
      <w:lang w:eastAsia="zh-TW"/>
    </w:rPr>
  </w:style>
  <w:style w:type="paragraph" w:styleId="Ttulo">
    <w:name w:val="Title"/>
    <w:basedOn w:val="Normal"/>
    <w:link w:val="TtuloChar"/>
    <w:qFormat/>
    <w:rsid w:val="00AA0A8E"/>
    <w:rPr>
      <w:rFonts w:cs="Times New Roman"/>
      <w:b/>
      <w:color w:val="000000" w:themeColor="text1"/>
    </w:rPr>
  </w:style>
  <w:style w:type="character" w:customStyle="1" w:styleId="TtuloChar">
    <w:name w:val="Título Char"/>
    <w:basedOn w:val="Fontepargpadro"/>
    <w:link w:val="Ttulo"/>
    <w:rsid w:val="00AA0A8E"/>
    <w:rPr>
      <w:rFonts w:ascii="Arial" w:eastAsia="PMingLiU" w:hAnsi="Arial" w:cs="Times New Roman"/>
      <w:b/>
      <w:color w:val="000000" w:themeColor="text1"/>
      <w:sz w:val="24"/>
      <w:szCs w:val="20"/>
      <w:lang w:eastAsia="zh-TW"/>
    </w:rPr>
  </w:style>
  <w:style w:type="paragraph" w:styleId="Subttulo">
    <w:name w:val="Subtitle"/>
    <w:basedOn w:val="Normal"/>
    <w:link w:val="SubttuloChar"/>
    <w:qFormat/>
    <w:rsid w:val="00AA0A8E"/>
    <w:pPr>
      <w:jc w:val="center"/>
    </w:pPr>
    <w:rPr>
      <w:rFonts w:eastAsia="Times New Roman" w:cs="Arial"/>
      <w:b/>
      <w:bCs/>
      <w:sz w:val="40"/>
      <w:szCs w:val="24"/>
      <w:lang w:eastAsia="pt-BR"/>
    </w:rPr>
  </w:style>
  <w:style w:type="character" w:customStyle="1" w:styleId="SubttuloChar">
    <w:name w:val="Subtítulo Char"/>
    <w:basedOn w:val="Fontepargpadro"/>
    <w:link w:val="Subttulo"/>
    <w:rsid w:val="00AA0A8E"/>
    <w:rPr>
      <w:rFonts w:ascii="Arial" w:eastAsia="Times New Roman" w:hAnsi="Arial" w:cs="Arial"/>
      <w:b/>
      <w:bCs/>
      <w:sz w:val="40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A0A8E"/>
    <w:rPr>
      <w:b/>
      <w:bCs/>
    </w:rPr>
  </w:style>
  <w:style w:type="character" w:styleId="nfase">
    <w:name w:val="Emphasis"/>
    <w:basedOn w:val="Fontepargpadro"/>
    <w:uiPriority w:val="20"/>
    <w:qFormat/>
    <w:rsid w:val="00AA0A8E"/>
    <w:rPr>
      <w:i/>
      <w:iCs/>
    </w:rPr>
  </w:style>
  <w:style w:type="paragraph" w:styleId="PargrafodaLista">
    <w:name w:val="List Paragraph"/>
    <w:basedOn w:val="Normal"/>
    <w:uiPriority w:val="34"/>
    <w:qFormat/>
    <w:rsid w:val="00AA0A8E"/>
    <w:pPr>
      <w:spacing w:after="160" w:line="259" w:lineRule="auto"/>
      <w:ind w:left="720"/>
      <w:contextualSpacing/>
    </w:pPr>
    <w:rPr>
      <w:rFonts w:eastAsiaTheme="minorHAnsi"/>
      <w:b/>
      <w:szCs w:val="22"/>
      <w:lang w:eastAsia="en-US"/>
    </w:rPr>
  </w:style>
  <w:style w:type="character" w:styleId="nfaseSutil">
    <w:name w:val="Subtle Emphasis"/>
    <w:aliases w:val="Titulo 3"/>
    <w:basedOn w:val="Fontepargpadro"/>
    <w:uiPriority w:val="19"/>
    <w:qFormat/>
    <w:rsid w:val="00AA0A8E"/>
    <w:rPr>
      <w:rFonts w:ascii="Arial" w:hAnsi="Arial"/>
      <w:b/>
      <w:i w:val="0"/>
      <w:iCs/>
      <w:color w:val="000000" w:themeColor="text1"/>
      <w:sz w:val="24"/>
    </w:rPr>
  </w:style>
  <w:style w:type="paragraph" w:styleId="CabealhodoSumrio">
    <w:name w:val="TOC Heading"/>
    <w:basedOn w:val="Ttulo1"/>
    <w:next w:val="Normal"/>
    <w:uiPriority w:val="39"/>
    <w:unhideWhenUsed/>
    <w:qFormat/>
    <w:rsid w:val="00AA0A8E"/>
    <w:pPr>
      <w:keepNext/>
      <w:keepLines/>
      <w:widowControl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pt-BR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AA0A8E"/>
    <w:pPr>
      <w:spacing w:after="200"/>
    </w:pPr>
    <w:rPr>
      <w:rFonts w:cs="Times New Roman"/>
      <w:b/>
      <w:bCs/>
      <w:color w:val="5B9BD5" w:themeColor="accent1"/>
      <w:sz w:val="18"/>
      <w:szCs w:val="18"/>
    </w:rPr>
  </w:style>
  <w:style w:type="character" w:styleId="RefernciaIntensa">
    <w:name w:val="Intense Reference"/>
    <w:basedOn w:val="Fontepargpadro"/>
    <w:uiPriority w:val="32"/>
    <w:qFormat/>
    <w:rsid w:val="00AA0A8E"/>
    <w:rPr>
      <w:b/>
      <w:bCs/>
      <w:smallCaps/>
      <w:color w:val="ED7D31" w:themeColor="accent2"/>
      <w:spacing w:val="5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7BB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7BB8"/>
    <w:rPr>
      <w:rFonts w:ascii="Tahoma" w:eastAsia="PMingLiU" w:hAnsi="Tahoma" w:cs="Tahoma"/>
      <w:sz w:val="16"/>
      <w:szCs w:val="16"/>
      <w:lang w:eastAsia="zh-TW"/>
    </w:rPr>
  </w:style>
  <w:style w:type="character" w:customStyle="1" w:styleId="articlebadge">
    <w:name w:val="_articlebadge"/>
    <w:basedOn w:val="Fontepargpadro"/>
    <w:rsid w:val="00941384"/>
  </w:style>
  <w:style w:type="character" w:customStyle="1" w:styleId="separator">
    <w:name w:val="_separator"/>
    <w:basedOn w:val="Fontepargpadro"/>
    <w:rsid w:val="00941384"/>
  </w:style>
  <w:style w:type="character" w:customStyle="1" w:styleId="editionmeta">
    <w:name w:val="_editionmeta"/>
    <w:basedOn w:val="Fontepargpadro"/>
    <w:rsid w:val="00941384"/>
  </w:style>
  <w:style w:type="character" w:customStyle="1" w:styleId="group-doi">
    <w:name w:val="group-doi"/>
    <w:basedOn w:val="Fontepargpadro"/>
    <w:rsid w:val="00941384"/>
  </w:style>
  <w:style w:type="character" w:styleId="Hyperlink">
    <w:name w:val="Hyperlink"/>
    <w:basedOn w:val="Fontepargpadro"/>
    <w:uiPriority w:val="99"/>
    <w:unhideWhenUsed/>
    <w:rsid w:val="00941384"/>
    <w:rPr>
      <w:color w:val="0000FF"/>
      <w:u w:val="single"/>
    </w:rPr>
  </w:style>
  <w:style w:type="character" w:styleId="CitaoHTML">
    <w:name w:val="HTML Cite"/>
    <w:basedOn w:val="Fontepargpadro"/>
    <w:uiPriority w:val="99"/>
    <w:semiHidden/>
    <w:unhideWhenUsed/>
    <w:rsid w:val="00941384"/>
    <w:rPr>
      <w:i/>
      <w:iCs/>
    </w:rPr>
  </w:style>
  <w:style w:type="character" w:customStyle="1" w:styleId="dyjrff">
    <w:name w:val="dyjrff"/>
    <w:basedOn w:val="Fontepargpadro"/>
    <w:rsid w:val="009413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88429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5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4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9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553278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1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0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56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53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71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95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2589">
          <w:marLeft w:val="-3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0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1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47943">
                      <w:marLeft w:val="-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38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987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50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92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476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3242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0288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91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3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65202">
                      <w:marLeft w:val="-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3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332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050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765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44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09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731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o.int/eportuguese/publications/mutilacao.pdf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bbc.com/portuguese/internacional-4713684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i.org/10.1590/1806-9584.2017v25n3p1277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0141E-D9C1-48BF-8BB0-D44B169B3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11</Pages>
  <Words>2499</Words>
  <Characters>13497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52</cp:revision>
  <dcterms:created xsi:type="dcterms:W3CDTF">2021-12-02T17:29:00Z</dcterms:created>
  <dcterms:modified xsi:type="dcterms:W3CDTF">2021-12-03T17:07:00Z</dcterms:modified>
</cp:coreProperties>
</file>