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CE6C0D" w14:textId="77777777" w:rsidR="000C7AD7" w:rsidRDefault="000C7AD7">
      <w:pPr>
        <w:jc w:val="center"/>
      </w:pPr>
    </w:p>
    <w:p w14:paraId="49CE6C0E" w14:textId="77777777" w:rsidR="000C7AD7" w:rsidRDefault="000C7AD7">
      <w:pPr>
        <w:jc w:val="center"/>
      </w:pPr>
    </w:p>
    <w:p w14:paraId="49CE6C0F" w14:textId="77777777" w:rsidR="000C7AD7" w:rsidRDefault="00000000">
      <w:pPr>
        <w:jc w:val="center"/>
      </w:pPr>
      <w:r>
        <w:t>INGRID CRISTINA SILVA</w:t>
      </w:r>
    </w:p>
    <w:p w14:paraId="49CE6C10" w14:textId="77777777" w:rsidR="000C7AD7" w:rsidRDefault="000C7AD7">
      <w:pPr>
        <w:jc w:val="center"/>
      </w:pPr>
    </w:p>
    <w:p w14:paraId="49CE6C11" w14:textId="77777777" w:rsidR="000C7AD7" w:rsidRDefault="000C7AD7">
      <w:pPr>
        <w:jc w:val="center"/>
      </w:pPr>
    </w:p>
    <w:p w14:paraId="49CE6C12" w14:textId="77777777" w:rsidR="000C7AD7" w:rsidRDefault="000C7AD7">
      <w:pPr>
        <w:jc w:val="center"/>
      </w:pPr>
    </w:p>
    <w:p w14:paraId="49CE6C13" w14:textId="77777777" w:rsidR="000C7AD7" w:rsidRDefault="000C7AD7">
      <w:pPr>
        <w:jc w:val="center"/>
      </w:pPr>
    </w:p>
    <w:p w14:paraId="49CE6C14" w14:textId="77777777" w:rsidR="000C7AD7" w:rsidRDefault="000C7AD7">
      <w:pPr>
        <w:jc w:val="center"/>
      </w:pPr>
    </w:p>
    <w:p w14:paraId="49CE6C15" w14:textId="77777777" w:rsidR="000C7AD7" w:rsidRDefault="000C7AD7">
      <w:pPr>
        <w:jc w:val="center"/>
      </w:pPr>
    </w:p>
    <w:p w14:paraId="49CE6C16" w14:textId="77777777" w:rsidR="000C7AD7" w:rsidRDefault="000C7AD7">
      <w:pPr>
        <w:jc w:val="center"/>
      </w:pPr>
    </w:p>
    <w:p w14:paraId="49CE6C17" w14:textId="77777777" w:rsidR="000C7AD7" w:rsidRDefault="000C7AD7">
      <w:pPr>
        <w:jc w:val="center"/>
      </w:pPr>
    </w:p>
    <w:p w14:paraId="49CE6C18" w14:textId="77777777" w:rsidR="000C7AD7" w:rsidRDefault="000C7AD7">
      <w:pPr>
        <w:jc w:val="center"/>
      </w:pPr>
    </w:p>
    <w:p w14:paraId="49CE6C19" w14:textId="77777777" w:rsidR="000C7AD7" w:rsidRDefault="000C7AD7">
      <w:pPr>
        <w:jc w:val="center"/>
      </w:pPr>
    </w:p>
    <w:p w14:paraId="49CE6C1A" w14:textId="77777777" w:rsidR="000C7AD7" w:rsidRDefault="000C7AD7">
      <w:pPr>
        <w:jc w:val="center"/>
      </w:pPr>
    </w:p>
    <w:p w14:paraId="49CE6C1B" w14:textId="77777777" w:rsidR="000C7AD7" w:rsidRDefault="000C7AD7">
      <w:pPr>
        <w:jc w:val="center"/>
      </w:pPr>
    </w:p>
    <w:p w14:paraId="49CE6C1C" w14:textId="77777777" w:rsidR="000C7AD7" w:rsidRDefault="00000000">
      <w:pPr>
        <w:jc w:val="center"/>
        <w:rPr>
          <w:b/>
          <w:sz w:val="38"/>
          <w:szCs w:val="38"/>
        </w:rPr>
      </w:pPr>
      <w:r>
        <w:rPr>
          <w:b/>
          <w:sz w:val="38"/>
          <w:szCs w:val="38"/>
        </w:rPr>
        <w:t>ANÁLISE DO POEMA “PICA-FLOR”, DE GREGÓRIO DE MATOS</w:t>
      </w:r>
    </w:p>
    <w:p w14:paraId="49CE6C1D" w14:textId="77777777" w:rsidR="000C7AD7" w:rsidRDefault="000C7AD7">
      <w:pPr>
        <w:jc w:val="center"/>
      </w:pPr>
    </w:p>
    <w:p w14:paraId="49CE6C1E" w14:textId="77777777" w:rsidR="000C7AD7" w:rsidRDefault="000C7AD7">
      <w:pPr>
        <w:jc w:val="center"/>
      </w:pPr>
    </w:p>
    <w:p w14:paraId="49CE6C1F" w14:textId="77777777" w:rsidR="000C7AD7" w:rsidRDefault="000C7AD7">
      <w:pPr>
        <w:jc w:val="center"/>
      </w:pPr>
    </w:p>
    <w:p w14:paraId="49CE6C20" w14:textId="77777777" w:rsidR="000C7AD7" w:rsidRDefault="000C7AD7">
      <w:pPr>
        <w:jc w:val="center"/>
      </w:pPr>
    </w:p>
    <w:p w14:paraId="49CE6C21" w14:textId="77777777" w:rsidR="000C7AD7" w:rsidRDefault="000C7AD7">
      <w:pPr>
        <w:jc w:val="center"/>
      </w:pPr>
    </w:p>
    <w:p w14:paraId="49CE6C22" w14:textId="77777777" w:rsidR="000C7AD7" w:rsidRDefault="000C7AD7">
      <w:pPr>
        <w:jc w:val="center"/>
      </w:pPr>
    </w:p>
    <w:p w14:paraId="49CE6C23" w14:textId="77777777" w:rsidR="000C7AD7" w:rsidRDefault="000C7AD7">
      <w:pPr>
        <w:jc w:val="center"/>
      </w:pPr>
    </w:p>
    <w:p w14:paraId="49CE6C29" w14:textId="77777777" w:rsidR="000C7AD7" w:rsidRDefault="000C7AD7"/>
    <w:p w14:paraId="49CE6C2A" w14:textId="77777777" w:rsidR="000C7AD7" w:rsidRDefault="000C7AD7"/>
    <w:p w14:paraId="49CE6C2B" w14:textId="77777777" w:rsidR="000C7AD7" w:rsidRDefault="000C7AD7"/>
    <w:p w14:paraId="49CE6C2C" w14:textId="77777777" w:rsidR="000C7AD7" w:rsidRDefault="000C7AD7"/>
    <w:p w14:paraId="49CE6C2D" w14:textId="77777777" w:rsidR="000C7AD7" w:rsidRDefault="000C7AD7"/>
    <w:p w14:paraId="49CE6C2E" w14:textId="77777777" w:rsidR="000C7AD7" w:rsidRDefault="000C7AD7"/>
    <w:p w14:paraId="49CE6C2F" w14:textId="77777777" w:rsidR="000C7AD7" w:rsidRDefault="000C7AD7"/>
    <w:p w14:paraId="49CE6C30" w14:textId="77777777" w:rsidR="000C7AD7" w:rsidRDefault="000C7AD7"/>
    <w:p w14:paraId="49CE6C31" w14:textId="77777777" w:rsidR="000C7AD7" w:rsidRDefault="000C7AD7"/>
    <w:p w14:paraId="49CE6C32" w14:textId="77777777" w:rsidR="000C7AD7" w:rsidRDefault="000C7AD7"/>
    <w:p w14:paraId="49CE6C33" w14:textId="77777777" w:rsidR="000C7AD7" w:rsidRDefault="000C7AD7"/>
    <w:p w14:paraId="49CE6C34" w14:textId="77777777" w:rsidR="000C7AD7" w:rsidRDefault="000C7AD7"/>
    <w:p w14:paraId="49CE6C35" w14:textId="77777777" w:rsidR="000C7AD7" w:rsidRDefault="000C7AD7"/>
    <w:p w14:paraId="49CE6C36" w14:textId="77777777" w:rsidR="000C7AD7" w:rsidRDefault="000C7AD7"/>
    <w:p w14:paraId="49CE6C37" w14:textId="77777777" w:rsidR="000C7AD7" w:rsidRDefault="00000000">
      <w:pPr>
        <w:jc w:val="center"/>
      </w:pPr>
      <w:r>
        <w:t>VITÓRIA</w:t>
      </w:r>
    </w:p>
    <w:p w14:paraId="6E1DE894" w14:textId="77777777" w:rsidR="00B83E05" w:rsidRDefault="00B83E05">
      <w:pPr>
        <w:jc w:val="center"/>
      </w:pPr>
    </w:p>
    <w:p w14:paraId="4FEF0DE9" w14:textId="77777777" w:rsidR="00B83E05" w:rsidRDefault="00B83E05">
      <w:pPr>
        <w:jc w:val="center"/>
      </w:pPr>
    </w:p>
    <w:p w14:paraId="06DE5893" w14:textId="77777777" w:rsidR="00B83E05" w:rsidRDefault="00B83E05">
      <w:pPr>
        <w:jc w:val="center"/>
      </w:pPr>
    </w:p>
    <w:p w14:paraId="5091A351" w14:textId="77777777" w:rsidR="00B83E05" w:rsidRDefault="00B83E05">
      <w:pPr>
        <w:jc w:val="center"/>
      </w:pPr>
    </w:p>
    <w:p w14:paraId="0E90F90F" w14:textId="77777777" w:rsidR="00B83E05" w:rsidRDefault="00B83E05">
      <w:pPr>
        <w:jc w:val="center"/>
      </w:pPr>
    </w:p>
    <w:p w14:paraId="65C585AF" w14:textId="77777777" w:rsidR="00B83E05" w:rsidRDefault="00B83E05">
      <w:pPr>
        <w:jc w:val="center"/>
      </w:pPr>
    </w:p>
    <w:p w14:paraId="3BCE8386" w14:textId="77777777" w:rsidR="00B83E05" w:rsidRDefault="00B83E05">
      <w:pPr>
        <w:jc w:val="center"/>
      </w:pPr>
    </w:p>
    <w:p w14:paraId="02F948F9" w14:textId="77777777" w:rsidR="00B83E05" w:rsidRDefault="00B83E05">
      <w:pPr>
        <w:jc w:val="center"/>
      </w:pPr>
    </w:p>
    <w:p w14:paraId="49CE6C38" w14:textId="77777777" w:rsidR="000C7AD7" w:rsidRDefault="00000000">
      <w:pPr>
        <w:jc w:val="center"/>
      </w:pPr>
      <w:r>
        <w:t>2022</w:t>
      </w:r>
    </w:p>
    <w:p w14:paraId="49CE6C39" w14:textId="77777777" w:rsidR="000C7AD7" w:rsidRDefault="000C7AD7">
      <w:pPr>
        <w:spacing w:line="360" w:lineRule="auto"/>
        <w:jc w:val="center"/>
        <w:rPr>
          <w:b/>
        </w:rPr>
      </w:pPr>
    </w:p>
    <w:p w14:paraId="49CE6C3A" w14:textId="77777777" w:rsidR="000C7AD7" w:rsidRDefault="00000000">
      <w:pPr>
        <w:jc w:val="center"/>
        <w:rPr>
          <w:b/>
        </w:rPr>
      </w:pPr>
      <w:r>
        <w:rPr>
          <w:b/>
        </w:rPr>
        <w:lastRenderedPageBreak/>
        <w:t>ANÁLISE DO POEMA “PICA-FLOR”, DE GREGÓRIO DE MATOS</w:t>
      </w:r>
    </w:p>
    <w:p w14:paraId="49CE6C3B" w14:textId="77777777" w:rsidR="000C7AD7" w:rsidRDefault="000C7AD7">
      <w:pPr>
        <w:jc w:val="center"/>
        <w:rPr>
          <w:b/>
        </w:rPr>
      </w:pPr>
    </w:p>
    <w:p w14:paraId="49CE6C3C" w14:textId="77777777" w:rsidR="000C7AD7" w:rsidRDefault="000C7AD7">
      <w:pPr>
        <w:jc w:val="center"/>
      </w:pPr>
    </w:p>
    <w:p w14:paraId="49CE6C3D" w14:textId="77777777" w:rsidR="000C7AD7" w:rsidRDefault="00000000">
      <w:r>
        <w:t>1 Se Pica-Flor me chamais,</w:t>
      </w:r>
      <w:r>
        <w:br/>
        <w:t>2 Pica-Flor aceito ser,</w:t>
      </w:r>
      <w:r>
        <w:br/>
        <w:t>3 Mas resta agora saber,</w:t>
      </w:r>
      <w:r>
        <w:br/>
        <w:t>4 Se no nome que me dais,</w:t>
      </w:r>
      <w:r>
        <w:br/>
        <w:t xml:space="preserve">5 </w:t>
      </w:r>
      <w:proofErr w:type="spellStart"/>
      <w:r>
        <w:t>Meteia</w:t>
      </w:r>
      <w:proofErr w:type="spellEnd"/>
      <w:r>
        <w:t xml:space="preserve"> a flor que guardais</w:t>
      </w:r>
      <w:r>
        <w:br/>
        <w:t>6 No passarinho melhor!</w:t>
      </w:r>
      <w:r>
        <w:br/>
        <w:t>7 Se me dais este favor,</w:t>
      </w:r>
      <w:r>
        <w:br/>
        <w:t>8 Sendo só de mim o Pica,</w:t>
      </w:r>
      <w:r>
        <w:br/>
        <w:t>9 E o mais vosso, claro fica,</w:t>
      </w:r>
      <w:r>
        <w:br/>
        <w:t>10 Que fico então Pica-Flor.</w:t>
      </w:r>
    </w:p>
    <w:p w14:paraId="49CE6C3E" w14:textId="77777777" w:rsidR="000C7AD7" w:rsidRDefault="000C7AD7">
      <w:pPr>
        <w:spacing w:line="360" w:lineRule="auto"/>
        <w:jc w:val="both"/>
      </w:pPr>
    </w:p>
    <w:p w14:paraId="49CE6C3F" w14:textId="77777777" w:rsidR="000C7AD7" w:rsidRDefault="000C7AD7">
      <w:pPr>
        <w:spacing w:line="360" w:lineRule="auto"/>
        <w:jc w:val="both"/>
      </w:pPr>
    </w:p>
    <w:p w14:paraId="49CE6C40" w14:textId="77777777" w:rsidR="000C7AD7" w:rsidRDefault="00000000">
      <w:pPr>
        <w:spacing w:line="360" w:lineRule="auto"/>
        <w:jc w:val="both"/>
      </w:pPr>
      <w:r>
        <w:tab/>
        <w:t>Embora tenha se dedicado, ao final de sua vida, a escrever poemas em homenagem a Jesus Cristo e outros sobre perdão, pecado, graça e salvação, não foi escrevendo poemas religiosos que Gregório de Matos Guerra – baiano nascido em 1636 – ganhou sua alcunha de “Boca do Inferno”. Em sua fase de “boêmio, aborrecido, [que] a todos satirizava mordazmente” (FREITAS, 2020, p. 25), o poeta se dedicou à escrita de poemas que insultavam padres, freiras, arcebispos e, até mesmo, o Papa. Devido à fase satírica de sua poesia, foi odiado e perseguido por muitos. Como afirma Freitas (2020, p. 28),</w:t>
      </w:r>
    </w:p>
    <w:p w14:paraId="49CE6C41" w14:textId="77777777" w:rsidR="000C7AD7" w:rsidRDefault="00000000">
      <w:pPr>
        <w:ind w:left="2268"/>
        <w:jc w:val="both"/>
        <w:rPr>
          <w:sz w:val="20"/>
          <w:szCs w:val="20"/>
        </w:rPr>
      </w:pPr>
      <w:r>
        <w:rPr>
          <w:sz w:val="20"/>
          <w:szCs w:val="20"/>
        </w:rPr>
        <w:t>[...] em muitos dos seus poemas satíricos, além das atitudes julgadoras, encontramos utilização de palavrões, cenas obscenas e pornográficas. Gregório jamais se importou com as consequências de suas críticas e sempre pareceu rancoroso e desejou que o mundo ardesse em chamas diversas vezes.</w:t>
      </w:r>
    </w:p>
    <w:p w14:paraId="49CE6C42" w14:textId="77777777" w:rsidR="000C7AD7" w:rsidRDefault="000C7AD7">
      <w:pPr>
        <w:ind w:left="2268"/>
        <w:jc w:val="both"/>
        <w:rPr>
          <w:sz w:val="20"/>
          <w:szCs w:val="20"/>
        </w:rPr>
      </w:pPr>
    </w:p>
    <w:p w14:paraId="49CE6C43" w14:textId="77777777" w:rsidR="000C7AD7" w:rsidRDefault="000C7AD7">
      <w:pPr>
        <w:ind w:left="2268"/>
        <w:jc w:val="both"/>
        <w:rPr>
          <w:sz w:val="20"/>
          <w:szCs w:val="20"/>
        </w:rPr>
      </w:pPr>
    </w:p>
    <w:p w14:paraId="49CE6C44" w14:textId="77777777" w:rsidR="000C7AD7" w:rsidRDefault="000C7AD7">
      <w:pPr>
        <w:spacing w:line="360" w:lineRule="auto"/>
        <w:jc w:val="both"/>
      </w:pPr>
    </w:p>
    <w:p w14:paraId="49CE6C45" w14:textId="77777777" w:rsidR="000C7AD7" w:rsidRDefault="00000000">
      <w:pPr>
        <w:spacing w:line="360" w:lineRule="auto"/>
        <w:jc w:val="both"/>
      </w:pPr>
      <w:r>
        <w:tab/>
        <w:t xml:space="preserve">Um exemplo famoso do que é citado acima é o poema </w:t>
      </w:r>
      <w:r>
        <w:rPr>
          <w:i/>
        </w:rPr>
        <w:t>Pica-Flor</w:t>
      </w:r>
      <w:r>
        <w:t>. Em ocasião de ser comparado ao Pica-Flor (hoje comumente chamado de Beija-Flor) por uma freira em razão da sua compleição física, o poeta decide dar uma resposta obscena e mordaz. Por meio de analogias, metonímias e jogos de palavras, Gregório vai construindo, ao longo dos dez versos, a imagem de união carnal almejada pelo eu-lírico. Fica claro que o termo ‘Pica’ se refere ao seu órgão genital ao passo que ‘Flor’ se refere ao órgão genital da freira. Tal metáfora se evidencia nos versos 5 e 8: “</w:t>
      </w:r>
      <w:proofErr w:type="spellStart"/>
      <w:r>
        <w:t>Meteia</w:t>
      </w:r>
      <w:proofErr w:type="spellEnd"/>
      <w:r>
        <w:t xml:space="preserve"> a flor que guardais/ Sendo só de mim o Pica”. O poema possui, ainda, rimas que criam uma musicalidade que combina com o ar de provocação e sátira almejadas pelo poeta: “chamais/dais/guardais”, nos versos 1,4 e 5; “ser/saber”, nos versos 2 e 3; “favor/Pica-Flor”, nos versos 7 e 10; “Pica/Fica”, nos versos 8 e 9.</w:t>
      </w:r>
    </w:p>
    <w:p w14:paraId="49CE6C46" w14:textId="77777777" w:rsidR="000C7AD7" w:rsidRDefault="00000000">
      <w:pPr>
        <w:spacing w:line="360" w:lineRule="auto"/>
        <w:jc w:val="both"/>
      </w:pPr>
      <w:r>
        <w:lastRenderedPageBreak/>
        <w:tab/>
        <w:t xml:space="preserve">Gregório é contraventor não só por utilizar metonímias para criar uma imagem de obscenidade, mas, ao ser confrontado com o termo “Pica-Flor” – que se pode dizer ter sido encarado por ele como uma ofensa –, responde com uma ofensa ainda mais humilhante para a freira. Ele cria um cenário que, analisando atentamente, foi sugerido pela própria freira ao evocar o termo em questão, é quase como se ele sugerisse que </w:t>
      </w:r>
      <w:r>
        <w:rPr>
          <w:i/>
        </w:rPr>
        <w:t xml:space="preserve">ela </w:t>
      </w:r>
      <w:r>
        <w:t xml:space="preserve">estivesse buscando por todo aquele ato insinuado nos versos. Isso pode ser observado no verso 1: “Se Pica-Flor </w:t>
      </w:r>
      <w:r>
        <w:rPr>
          <w:b/>
        </w:rPr>
        <w:t>me chamais</w:t>
      </w:r>
      <w:r>
        <w:t xml:space="preserve">”. Ou seja, ele estava quieto no canto dele, foi ela quem começou. Além disso, ao criar tais comparações (‘pica’ para o seu órgão genital e ‘flor’ para o órgão genital da freira), ele quebra a imagem de pureza que poderia ser inferida da delicadeza natural do pássaro, e mesmo de uma flor, e constrói um símbolo libidinoso, arrematando, dessa forma, sua alfinetada na religiosa. </w:t>
      </w:r>
    </w:p>
    <w:p w14:paraId="49CE6C47" w14:textId="77777777" w:rsidR="000C7AD7" w:rsidRDefault="000C7AD7">
      <w:pPr>
        <w:spacing w:line="360" w:lineRule="auto"/>
        <w:jc w:val="both"/>
      </w:pPr>
    </w:p>
    <w:p w14:paraId="49CE6C48" w14:textId="77777777" w:rsidR="000C7AD7" w:rsidRDefault="000C7AD7">
      <w:pPr>
        <w:spacing w:line="360" w:lineRule="auto"/>
        <w:jc w:val="both"/>
      </w:pPr>
    </w:p>
    <w:p w14:paraId="49CE6C49" w14:textId="77777777" w:rsidR="000C7AD7" w:rsidRDefault="000C7AD7">
      <w:pPr>
        <w:spacing w:line="360" w:lineRule="auto"/>
        <w:jc w:val="both"/>
      </w:pPr>
    </w:p>
    <w:p w14:paraId="49CE6C4A" w14:textId="77777777" w:rsidR="000C7AD7" w:rsidRDefault="000C7AD7">
      <w:pPr>
        <w:spacing w:line="360" w:lineRule="auto"/>
        <w:jc w:val="both"/>
      </w:pPr>
    </w:p>
    <w:p w14:paraId="49CE6C4B" w14:textId="77777777" w:rsidR="000C7AD7" w:rsidRDefault="000C7AD7">
      <w:pPr>
        <w:spacing w:line="360" w:lineRule="auto"/>
        <w:jc w:val="both"/>
      </w:pPr>
    </w:p>
    <w:p w14:paraId="49CE6C4C" w14:textId="77777777" w:rsidR="000C7AD7" w:rsidRDefault="000C7AD7">
      <w:pPr>
        <w:spacing w:line="360" w:lineRule="auto"/>
        <w:jc w:val="both"/>
      </w:pPr>
    </w:p>
    <w:p w14:paraId="49CE6C4D" w14:textId="77777777" w:rsidR="000C7AD7" w:rsidRDefault="000C7AD7">
      <w:pPr>
        <w:spacing w:line="360" w:lineRule="auto"/>
        <w:jc w:val="both"/>
      </w:pPr>
    </w:p>
    <w:p w14:paraId="49CE6C4E" w14:textId="77777777" w:rsidR="000C7AD7" w:rsidRDefault="000C7AD7">
      <w:pPr>
        <w:spacing w:line="360" w:lineRule="auto"/>
        <w:jc w:val="both"/>
      </w:pPr>
    </w:p>
    <w:p w14:paraId="49CE6C4F" w14:textId="77777777" w:rsidR="000C7AD7" w:rsidRDefault="000C7AD7">
      <w:pPr>
        <w:spacing w:line="360" w:lineRule="auto"/>
        <w:jc w:val="both"/>
      </w:pPr>
    </w:p>
    <w:p w14:paraId="49CE6C50" w14:textId="77777777" w:rsidR="000C7AD7" w:rsidRDefault="000C7AD7">
      <w:pPr>
        <w:spacing w:line="360" w:lineRule="auto"/>
        <w:jc w:val="both"/>
      </w:pPr>
    </w:p>
    <w:p w14:paraId="49CE6C51" w14:textId="77777777" w:rsidR="000C7AD7" w:rsidRDefault="000C7AD7">
      <w:pPr>
        <w:spacing w:line="360" w:lineRule="auto"/>
        <w:jc w:val="both"/>
      </w:pPr>
    </w:p>
    <w:p w14:paraId="49CE6C52" w14:textId="77777777" w:rsidR="000C7AD7" w:rsidRDefault="000C7AD7">
      <w:pPr>
        <w:spacing w:line="360" w:lineRule="auto"/>
        <w:jc w:val="both"/>
      </w:pPr>
    </w:p>
    <w:p w14:paraId="49CE6C53" w14:textId="77777777" w:rsidR="000C7AD7" w:rsidRDefault="000C7AD7">
      <w:pPr>
        <w:spacing w:line="360" w:lineRule="auto"/>
        <w:jc w:val="both"/>
      </w:pPr>
    </w:p>
    <w:p w14:paraId="49CE6C54" w14:textId="77777777" w:rsidR="000C7AD7" w:rsidRDefault="000C7AD7">
      <w:pPr>
        <w:spacing w:line="360" w:lineRule="auto"/>
        <w:jc w:val="both"/>
      </w:pPr>
    </w:p>
    <w:p w14:paraId="49CE6C55" w14:textId="77777777" w:rsidR="000C7AD7" w:rsidRDefault="000C7AD7">
      <w:pPr>
        <w:spacing w:line="360" w:lineRule="auto"/>
        <w:jc w:val="both"/>
      </w:pPr>
    </w:p>
    <w:p w14:paraId="49CE6C56" w14:textId="77777777" w:rsidR="000C7AD7" w:rsidRDefault="000C7AD7">
      <w:pPr>
        <w:spacing w:line="360" w:lineRule="auto"/>
        <w:jc w:val="both"/>
      </w:pPr>
    </w:p>
    <w:p w14:paraId="49CE6C57" w14:textId="77777777" w:rsidR="000C7AD7" w:rsidRDefault="000C7AD7">
      <w:pPr>
        <w:spacing w:line="360" w:lineRule="auto"/>
        <w:jc w:val="both"/>
      </w:pPr>
    </w:p>
    <w:p w14:paraId="49CE6C58" w14:textId="77777777" w:rsidR="000C7AD7" w:rsidRDefault="000C7AD7">
      <w:pPr>
        <w:spacing w:line="360" w:lineRule="auto"/>
        <w:jc w:val="both"/>
      </w:pPr>
    </w:p>
    <w:p w14:paraId="49CE6C59" w14:textId="77777777" w:rsidR="000C7AD7" w:rsidRDefault="000C7AD7">
      <w:pPr>
        <w:spacing w:line="360" w:lineRule="auto"/>
        <w:jc w:val="both"/>
      </w:pPr>
    </w:p>
    <w:p w14:paraId="49CE6C5A" w14:textId="77777777" w:rsidR="000C7AD7" w:rsidRDefault="000C7AD7">
      <w:pPr>
        <w:spacing w:line="360" w:lineRule="auto"/>
        <w:jc w:val="both"/>
      </w:pPr>
    </w:p>
    <w:p w14:paraId="49CE6C5B" w14:textId="77777777" w:rsidR="000C7AD7" w:rsidRDefault="000C7AD7">
      <w:pPr>
        <w:spacing w:line="360" w:lineRule="auto"/>
        <w:jc w:val="both"/>
      </w:pPr>
    </w:p>
    <w:p w14:paraId="49CE6C5C" w14:textId="77777777" w:rsidR="000C7AD7" w:rsidRDefault="000C7AD7">
      <w:pPr>
        <w:spacing w:line="360" w:lineRule="auto"/>
        <w:jc w:val="both"/>
      </w:pPr>
    </w:p>
    <w:p w14:paraId="49CE6C5D" w14:textId="77777777" w:rsidR="000C7AD7" w:rsidRDefault="000C7AD7">
      <w:pPr>
        <w:spacing w:line="360" w:lineRule="auto"/>
        <w:jc w:val="both"/>
      </w:pPr>
    </w:p>
    <w:p w14:paraId="49CE6C5E" w14:textId="77777777" w:rsidR="000C7AD7" w:rsidRDefault="00000000">
      <w:pPr>
        <w:spacing w:line="360" w:lineRule="auto"/>
        <w:rPr>
          <w:b/>
        </w:rPr>
      </w:pPr>
      <w:r>
        <w:rPr>
          <w:b/>
        </w:rPr>
        <w:lastRenderedPageBreak/>
        <w:t>Referências:</w:t>
      </w:r>
    </w:p>
    <w:p w14:paraId="49CE6C5F" w14:textId="77777777" w:rsidR="000C7AD7" w:rsidRDefault="00000000">
      <w:pPr>
        <w:spacing w:before="120" w:after="120"/>
        <w:jc w:val="both"/>
      </w:pPr>
      <w:r>
        <w:t xml:space="preserve">FREITAS, Paulo Vinicius Fernandes. </w:t>
      </w:r>
      <w:r>
        <w:rPr>
          <w:i/>
        </w:rPr>
        <w:t>Do Profano ao Sagrado: uma análise da doutrina bíblica da salvação nos poemas religiosos de Gregório de Matos.</w:t>
      </w:r>
      <w:r>
        <w:t xml:space="preserve"> Dissertação de Mestrado. Programa de Estudos Pós-Graduados em Literatura e Crítica Literária. Pontifícia Universidade Católica de São Paulo, SP, Brasil, 2020.</w:t>
      </w:r>
    </w:p>
    <w:p w14:paraId="49CE6C60" w14:textId="77777777" w:rsidR="000C7AD7" w:rsidRDefault="000C7AD7">
      <w:pPr>
        <w:spacing w:before="120" w:after="120"/>
        <w:jc w:val="both"/>
        <w:rPr>
          <w:color w:val="000000"/>
        </w:rPr>
      </w:pPr>
    </w:p>
    <w:p w14:paraId="49CE6C61" w14:textId="77777777" w:rsidR="000C7AD7" w:rsidRDefault="00000000">
      <w:pPr>
        <w:spacing w:before="120" w:after="120"/>
        <w:jc w:val="both"/>
      </w:pPr>
      <w:r>
        <w:t xml:space="preserve">MATOS, Gregório de. </w:t>
      </w:r>
      <w:r>
        <w:rPr>
          <w:i/>
        </w:rPr>
        <w:t>Pica-Flor</w:t>
      </w:r>
      <w:r>
        <w:t>. Disponível em: https://www.culturagenial.com/poema-e-agora-jose-carlos-drummond-de-andrade/. Acesso em: 10 fev. 2022.</w:t>
      </w:r>
    </w:p>
    <w:p w14:paraId="49CE6C62" w14:textId="77777777" w:rsidR="000C7AD7" w:rsidRDefault="000C7AD7">
      <w:pPr>
        <w:jc w:val="both"/>
      </w:pPr>
    </w:p>
    <w:sectPr w:rsidR="000C7AD7">
      <w:pgSz w:w="11906" w:h="16838"/>
      <w:pgMar w:top="1417" w:right="1701" w:bottom="1417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AD7"/>
    <w:rsid w:val="000C7AD7"/>
    <w:rsid w:val="00B8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E6BDD"/>
  <w15:docId w15:val="{C0195F41-AAD1-41BC-B1E7-BF7BCA3B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0292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275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rsid w:val="000D15D4"/>
    <w:pPr>
      <w:jc w:val="center"/>
    </w:pPr>
    <w:rPr>
      <w:smallCaps/>
      <w:szCs w:val="20"/>
    </w:rPr>
  </w:style>
  <w:style w:type="paragraph" w:styleId="Textodenotaderodap">
    <w:name w:val="footnote text"/>
    <w:basedOn w:val="Normal"/>
    <w:link w:val="TextodenotaderodapChar"/>
    <w:semiHidden/>
    <w:rsid w:val="003939A2"/>
    <w:rPr>
      <w:sz w:val="20"/>
      <w:szCs w:val="20"/>
    </w:rPr>
  </w:style>
  <w:style w:type="character" w:styleId="Refdenotaderodap">
    <w:name w:val="footnote reference"/>
    <w:semiHidden/>
    <w:rsid w:val="003939A2"/>
    <w:rPr>
      <w:vertAlign w:val="superscript"/>
    </w:rPr>
  </w:style>
  <w:style w:type="character" w:customStyle="1" w:styleId="Ttulo1Char">
    <w:name w:val="Título 1 Char"/>
    <w:link w:val="Ttulo1"/>
    <w:rsid w:val="0020292D"/>
    <w:rPr>
      <w:rFonts w:ascii="Arial" w:hAnsi="Arial" w:cs="Arial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rsid w:val="0020292D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rsid w:val="0020292D"/>
  </w:style>
  <w:style w:type="character" w:styleId="Refdecomentrio">
    <w:name w:val="annotation reference"/>
    <w:rsid w:val="0020292D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20292D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20292D"/>
  </w:style>
  <w:style w:type="paragraph" w:styleId="Recuodecorpodetexto">
    <w:name w:val="Body Text Indent"/>
    <w:basedOn w:val="Normal"/>
    <w:link w:val="RecuodecorpodetextoChar"/>
    <w:rsid w:val="0020292D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20292D"/>
  </w:style>
  <w:style w:type="character" w:customStyle="1" w:styleId="TextodenotaderodapChar">
    <w:name w:val="Texto de nota de rodapé Char"/>
    <w:basedOn w:val="Fontepargpadro"/>
    <w:link w:val="Textodenotaderodap"/>
    <w:semiHidden/>
    <w:rsid w:val="0020292D"/>
  </w:style>
  <w:style w:type="character" w:styleId="Hyperlink">
    <w:name w:val="Hyperlink"/>
    <w:rsid w:val="0020292D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20292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20292D"/>
    <w:rPr>
      <w:rFonts w:ascii="Tahoma" w:hAnsi="Tahoma" w:cs="Tahoma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04572A"/>
    <w:rPr>
      <w:b/>
      <w:bCs/>
    </w:rPr>
  </w:style>
  <w:style w:type="character" w:customStyle="1" w:styleId="AssuntodocomentrioChar">
    <w:name w:val="Assunto do comentário Char"/>
    <w:link w:val="Assuntodocomentrio"/>
    <w:rsid w:val="0004572A"/>
    <w:rPr>
      <w:b/>
      <w:bCs/>
    </w:rPr>
  </w:style>
  <w:style w:type="character" w:customStyle="1" w:styleId="ref1">
    <w:name w:val="ref1"/>
    <w:rsid w:val="00756A68"/>
  </w:style>
  <w:style w:type="character" w:customStyle="1" w:styleId="Ttulo3Char">
    <w:name w:val="Título 3 Char"/>
    <w:link w:val="Ttulo3"/>
    <w:semiHidden/>
    <w:rsid w:val="0097275A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fontstyle01">
    <w:name w:val="fontstyle01"/>
    <w:rsid w:val="0026188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261880"/>
    <w:rPr>
      <w:rFonts w:ascii="Times New Roman" w:hAnsi="Times New Roman" w:cs="Times New Roman" w:hint="default"/>
      <w:b/>
      <w:bCs/>
      <w:i w:val="0"/>
      <w:iCs w:val="0"/>
      <w:color w:val="000000"/>
      <w:sz w:val="36"/>
      <w:szCs w:val="36"/>
    </w:rPr>
  </w:style>
  <w:style w:type="character" w:customStyle="1" w:styleId="ref2">
    <w:name w:val="ref2"/>
    <w:rsid w:val="00AD1725"/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CBa2q3LGuqtLuKL/ijEZbj1aGw==">CgMxLjA4AHIhMTE0N3ZGWUFwMnpQdFU2akpYVWZtX2MwN2Q3a1hBdFM5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3060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Ingrid Cristina</cp:lastModifiedBy>
  <cp:revision>2</cp:revision>
  <dcterms:created xsi:type="dcterms:W3CDTF">2021-02-25T14:06:00Z</dcterms:created>
  <dcterms:modified xsi:type="dcterms:W3CDTF">2023-08-25T14:31:00Z</dcterms:modified>
</cp:coreProperties>
</file>