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3B" w:rsidRPr="008F3158" w:rsidRDefault="00E50D3B" w:rsidP="008F3158">
      <w:pPr>
        <w:keepNext/>
        <w:autoSpaceDE w:val="0"/>
        <w:autoSpaceDN w:val="0"/>
        <w:adjustRightInd w:val="0"/>
        <w:spacing w:line="240" w:lineRule="auto"/>
        <w:jc w:val="both"/>
        <w:rPr>
          <w:sz w:val="30"/>
          <w:szCs w:val="30"/>
        </w:rPr>
      </w:pPr>
      <w:r w:rsidRPr="003522FA">
        <w:rPr>
          <w:noProof/>
          <w:sz w:val="30"/>
          <w:szCs w:val="30"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4B42C8" wp14:editId="684DC4C7">
                <wp:simplePos x="0" y="0"/>
                <wp:positionH relativeFrom="column">
                  <wp:posOffset>53340</wp:posOffset>
                </wp:positionH>
                <wp:positionV relativeFrom="paragraph">
                  <wp:posOffset>2913380</wp:posOffset>
                </wp:positionV>
                <wp:extent cx="1954530" cy="266700"/>
                <wp:effectExtent l="0" t="3175" r="0" b="0"/>
                <wp:wrapSquare wrapText="bothSides"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453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0D3B" w:rsidRPr="001C34D3" w:rsidRDefault="00E50D3B" w:rsidP="00E50D3B">
                            <w:pPr>
                              <w:pStyle w:val="Legenda"/>
                              <w:rPr>
                                <w:rFonts w:ascii="Calibri" w:hAnsi="Calibri" w:cs="Calibri"/>
                                <w:noProof/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 xml:space="preserve">               </w:t>
                            </w:r>
                            <w:r w:rsidRPr="001C34D3">
                              <w:rPr>
                                <w:color w:val="auto"/>
                              </w:rPr>
                              <w:t xml:space="preserve">Capa </w:t>
                            </w:r>
                            <w:r w:rsidRPr="001C34D3">
                              <w:rPr>
                                <w:noProof/>
                                <w:color w:val="auto"/>
                              </w:rPr>
                              <w:t>da edição de 1580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4.2pt;margin-top:229.4pt;width:153.9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" stroked="f">
                <v:textbox style="mso-fit-shape-to-text:t" inset="0,0,0,0">
                  <w:txbxContent>
                    <w:p w:rsidR="00E50D3B" w:rsidRPr="001C34D3" w:rsidRDefault="00E50D3B" w:rsidP="00E50D3B">
                      <w:pPr>
                        <w:pStyle w:val="Legenda"/>
                        <w:rPr>
                          <w:rFonts w:ascii="Calibri" w:hAnsi="Calibri" w:cs="Calibri"/>
                          <w:noProof/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 xml:space="preserve">               </w:t>
                      </w:r>
                      <w:r w:rsidRPr="001C34D3">
                        <w:rPr>
                          <w:color w:val="auto"/>
                        </w:rPr>
                        <w:t xml:space="preserve">Capa </w:t>
                      </w:r>
                      <w:r w:rsidRPr="001C34D3">
                        <w:rPr>
                          <w:noProof/>
                          <w:color w:val="auto"/>
                        </w:rPr>
                        <w:t>da edição de 1580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22FA">
        <w:rPr>
          <w:rFonts w:ascii="Calibri" w:hAnsi="Calibri" w:cs="Calibri"/>
          <w:noProof/>
          <w:sz w:val="30"/>
          <w:szCs w:val="30"/>
          <w:lang w:eastAsia="pt-BR"/>
        </w:rPr>
        <w:drawing>
          <wp:anchor distT="0" distB="0" distL="114300" distR="114300" simplePos="0" relativeHeight="251659264" behindDoc="0" locked="0" layoutInCell="1" allowOverlap="1" wp14:anchorId="0A82E322" wp14:editId="5A5044D9">
            <wp:simplePos x="0" y="0"/>
            <wp:positionH relativeFrom="column">
              <wp:posOffset>53340</wp:posOffset>
            </wp:positionH>
            <wp:positionV relativeFrom="paragraph">
              <wp:posOffset>-635</wp:posOffset>
            </wp:positionV>
            <wp:extent cx="1954530" cy="2856865"/>
            <wp:effectExtent l="171450" t="133350" r="369570" b="30543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856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522FA">
        <w:rPr>
          <w:rFonts w:ascii="Calibri" w:hAnsi="Calibri" w:cs="Calibri"/>
          <w:b/>
          <w:bCs/>
          <w:sz w:val="30"/>
          <w:szCs w:val="30"/>
        </w:rPr>
        <w:t>Um estudo sobre o poder e seu uso</w:t>
      </w:r>
    </w:p>
    <w:p w:rsidR="00E50D3B" w:rsidRPr="003522FA" w:rsidRDefault="00E50D3B" w:rsidP="00E50D3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522FA">
        <w:rPr>
          <w:rFonts w:ascii="Arial" w:hAnsi="Arial" w:cs="Arial"/>
          <w:sz w:val="24"/>
          <w:szCs w:val="24"/>
        </w:rPr>
        <w:t>Utilizando todo o seu conhecimento das ações dos grandes homens, adquirido numa longa experiência das coisas de sua época e no aprendizado dos fatos antigos - meditadas por largo tempo e examinadas com grande diligência - Nicolas Maquiavel escreveu um pequeno volume de textos em homenagem ao príncipe Lourenço de Médicis (</w:t>
      </w:r>
      <w:r w:rsidRPr="003522FA">
        <w:rPr>
          <w:rFonts w:ascii="Arial" w:hAnsi="Arial" w:cs="Arial"/>
          <w:iCs/>
          <w:sz w:val="24"/>
          <w:szCs w:val="24"/>
          <w:lang w:val="pt-PT"/>
        </w:rPr>
        <w:t>Lorenzo de' Medici), estadista italiano, soberano da República Florentina</w:t>
      </w:r>
      <w:r w:rsidRPr="003522FA">
        <w:rPr>
          <w:rFonts w:ascii="Arial" w:hAnsi="Arial" w:cs="Arial"/>
          <w:sz w:val="24"/>
          <w:szCs w:val="24"/>
          <w:lang w:val="pt-PT"/>
        </w:rPr>
        <w:t xml:space="preserve"> durante o Renascimento italiano. Conhecido como </w:t>
      </w:r>
      <w:r w:rsidRPr="003522FA">
        <w:rPr>
          <w:rFonts w:ascii="Arial" w:hAnsi="Arial" w:cs="Arial"/>
          <w:bCs/>
          <w:sz w:val="24"/>
          <w:szCs w:val="24"/>
          <w:lang w:val="pt-PT"/>
        </w:rPr>
        <w:t>Lourenço, o Magnífico</w:t>
      </w:r>
      <w:r w:rsidRPr="003522FA">
        <w:rPr>
          <w:rFonts w:ascii="Arial" w:hAnsi="Arial" w:cs="Arial"/>
          <w:sz w:val="24"/>
          <w:szCs w:val="24"/>
          <w:lang w:val="pt-PT"/>
        </w:rPr>
        <w:t xml:space="preserve"> (</w:t>
      </w:r>
      <w:r w:rsidRPr="003522FA">
        <w:rPr>
          <w:rFonts w:ascii="Arial" w:hAnsi="Arial" w:cs="Arial"/>
          <w:i/>
          <w:iCs/>
          <w:sz w:val="24"/>
          <w:szCs w:val="24"/>
          <w:lang w:val="pt-PT"/>
        </w:rPr>
        <w:t xml:space="preserve">Lorenzo </w:t>
      </w:r>
      <w:proofErr w:type="gramStart"/>
      <w:r w:rsidRPr="003522FA">
        <w:rPr>
          <w:rFonts w:ascii="Arial" w:hAnsi="Arial" w:cs="Arial"/>
          <w:i/>
          <w:iCs/>
          <w:sz w:val="24"/>
          <w:szCs w:val="24"/>
          <w:lang w:val="pt-PT"/>
        </w:rPr>
        <w:t>il</w:t>
      </w:r>
      <w:proofErr w:type="gramEnd"/>
      <w:r w:rsidRPr="003522FA">
        <w:rPr>
          <w:rFonts w:ascii="Arial" w:hAnsi="Arial" w:cs="Arial"/>
          <w:i/>
          <w:iCs/>
          <w:sz w:val="24"/>
          <w:szCs w:val="24"/>
          <w:lang w:val="pt-PT"/>
        </w:rPr>
        <w:t xml:space="preserve"> Magnifico</w:t>
      </w:r>
      <w:r w:rsidRPr="003522FA">
        <w:rPr>
          <w:rFonts w:ascii="Arial" w:hAnsi="Arial" w:cs="Arial"/>
          <w:sz w:val="24"/>
          <w:szCs w:val="24"/>
          <w:lang w:val="pt-PT"/>
        </w:rPr>
        <w:t>) por seus contemporâneos florentinos, foi um diplomata, político, mecenas e patrono de acadêmicos, artistas e poetas</w:t>
      </w:r>
      <w:r w:rsidRPr="003522FA">
        <w:rPr>
          <w:rFonts w:ascii="Arial" w:hAnsi="Arial" w:cs="Arial"/>
          <w:sz w:val="24"/>
          <w:szCs w:val="24"/>
        </w:rPr>
        <w:t xml:space="preserve">. A oferenda foi enviada ao poderoso </w:t>
      </w:r>
      <w:proofErr w:type="spellStart"/>
      <w:r w:rsidRPr="003522FA">
        <w:rPr>
          <w:rFonts w:ascii="Arial" w:hAnsi="Arial" w:cs="Arial"/>
          <w:sz w:val="24"/>
          <w:szCs w:val="24"/>
        </w:rPr>
        <w:t>Medici</w:t>
      </w:r>
      <w:proofErr w:type="spellEnd"/>
      <w:r w:rsidRPr="003522FA">
        <w:rPr>
          <w:rFonts w:ascii="Arial" w:hAnsi="Arial" w:cs="Arial"/>
          <w:sz w:val="24"/>
          <w:szCs w:val="24"/>
        </w:rPr>
        <w:t xml:space="preserve"> com uma humildade não coadunante com a capacidade de quem elaborou a maior obra sobre o poder jamais escrita: </w:t>
      </w:r>
      <w:proofErr w:type="gramStart"/>
      <w:r w:rsidRPr="003522FA">
        <w:rPr>
          <w:rFonts w:ascii="Arial" w:hAnsi="Arial" w:cs="Arial"/>
          <w:i/>
          <w:sz w:val="24"/>
          <w:szCs w:val="24"/>
        </w:rPr>
        <w:t>“...</w:t>
      </w:r>
      <w:proofErr w:type="gramEnd"/>
      <w:r w:rsidRPr="003522FA">
        <w:rPr>
          <w:rFonts w:ascii="Arial" w:hAnsi="Arial" w:cs="Arial"/>
          <w:i/>
          <w:sz w:val="24"/>
          <w:szCs w:val="24"/>
        </w:rPr>
        <w:t xml:space="preserve"> se bem que eu julgue esta obra indigna de vos ser oferecida, confio, no entanto, que a recebereis, considerando que não posso oferecer-vos melhor dádiva que facilitar-vos, em brevíssimo tempo, o </w:t>
      </w:r>
      <w:proofErr w:type="gramStart"/>
      <w:r w:rsidRPr="003522FA">
        <w:rPr>
          <w:rFonts w:ascii="Arial" w:hAnsi="Arial" w:cs="Arial"/>
          <w:i/>
          <w:sz w:val="24"/>
          <w:szCs w:val="24"/>
        </w:rPr>
        <w:t>que</w:t>
      </w:r>
      <w:proofErr w:type="gramEnd"/>
      <w:r w:rsidRPr="003522FA">
        <w:rPr>
          <w:rFonts w:ascii="Arial" w:hAnsi="Arial" w:cs="Arial"/>
          <w:i/>
          <w:sz w:val="24"/>
          <w:szCs w:val="24"/>
        </w:rPr>
        <w:t xml:space="preserve"> a mim me custou muitos anos e não poucos trabalhos e perigos.”</w:t>
      </w:r>
    </w:p>
    <w:p w:rsidR="00E50D3B" w:rsidRPr="003522FA" w:rsidRDefault="00E50D3B" w:rsidP="00E50D3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522FA">
        <w:rPr>
          <w:rFonts w:ascii="Arial" w:hAnsi="Arial" w:cs="Arial"/>
          <w:sz w:val="24"/>
          <w:szCs w:val="24"/>
        </w:rPr>
        <w:t xml:space="preserve">Mas, com seu professoral dom de persuadir - seja ou não com segundas e terceiras intenções, designadas hoje como ‘maquiavelismo -, prosseguiu com sua dialética bajulatória: </w:t>
      </w:r>
      <w:r w:rsidRPr="003522FA">
        <w:rPr>
          <w:rFonts w:ascii="Arial" w:hAnsi="Arial" w:cs="Arial"/>
          <w:i/>
          <w:sz w:val="24"/>
          <w:szCs w:val="24"/>
        </w:rPr>
        <w:t>“Que Vossa Magnificência aceite este pequeno presente com o ânimo com que vo-lo</w:t>
      </w:r>
      <w:bookmarkStart w:id="0" w:name="_GoBack"/>
      <w:bookmarkEnd w:id="0"/>
      <w:r w:rsidRPr="003522FA">
        <w:rPr>
          <w:rFonts w:ascii="Arial" w:hAnsi="Arial" w:cs="Arial"/>
          <w:i/>
          <w:sz w:val="24"/>
          <w:szCs w:val="24"/>
        </w:rPr>
        <w:t xml:space="preserve"> envio; e se o lerdes e o meditardes detidamente, </w:t>
      </w:r>
      <w:proofErr w:type="gramStart"/>
      <w:r w:rsidRPr="003522FA">
        <w:rPr>
          <w:rFonts w:ascii="Arial" w:hAnsi="Arial" w:cs="Arial"/>
          <w:i/>
          <w:sz w:val="24"/>
          <w:szCs w:val="24"/>
        </w:rPr>
        <w:t>achareis</w:t>
      </w:r>
      <w:proofErr w:type="gramEnd"/>
      <w:r w:rsidRPr="003522FA">
        <w:rPr>
          <w:rFonts w:ascii="Arial" w:hAnsi="Arial" w:cs="Arial"/>
          <w:i/>
          <w:sz w:val="24"/>
          <w:szCs w:val="24"/>
        </w:rPr>
        <w:t xml:space="preserve"> no seu íntimo o ardentíssimo desejo que tenho de que chegueis à grandeza que a fortuna e as outras qualidades vossas vos prometem. E se, do cume de vossa altura, volverdes os olhos para estes baixos lugares, reconhecereis quão indignamente suporto uma grande e contínua adversidade da sorte.”</w:t>
      </w:r>
    </w:p>
    <w:p w:rsidR="001F29D1" w:rsidRPr="003522FA" w:rsidRDefault="00E50D3B" w:rsidP="00E50D3B">
      <w:pPr>
        <w:pStyle w:val="Legenda"/>
        <w:jc w:val="both"/>
        <w:rPr>
          <w:rFonts w:ascii="Arial" w:hAnsi="Arial" w:cs="Arial"/>
          <w:b w:val="0"/>
          <w:color w:val="auto"/>
          <w:sz w:val="24"/>
          <w:szCs w:val="24"/>
          <w:lang w:val="pt-PT"/>
        </w:rPr>
      </w:pPr>
      <w:r w:rsidRPr="003522FA">
        <w:rPr>
          <w:rFonts w:ascii="Arial" w:hAnsi="Arial" w:cs="Arial"/>
          <w:b w:val="0"/>
          <w:color w:val="auto"/>
          <w:sz w:val="24"/>
          <w:szCs w:val="24"/>
        </w:rPr>
        <w:t xml:space="preserve">Este </w:t>
      </w:r>
      <w:r w:rsidRPr="003522FA">
        <w:rPr>
          <w:rFonts w:ascii="Arial" w:hAnsi="Arial" w:cs="Arial"/>
          <w:b w:val="0"/>
          <w:i/>
          <w:color w:val="auto"/>
          <w:sz w:val="24"/>
          <w:szCs w:val="24"/>
        </w:rPr>
        <w:t>O Príncipe</w:t>
      </w:r>
      <w:r w:rsidRPr="003522FA">
        <w:rPr>
          <w:rFonts w:ascii="Arial" w:hAnsi="Arial" w:cs="Arial"/>
          <w:b w:val="0"/>
          <w:color w:val="auto"/>
          <w:sz w:val="24"/>
          <w:szCs w:val="24"/>
        </w:rPr>
        <w:t xml:space="preserve"> é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um livro escrito por Maquiavel em 1513, cuja primeira edição foi publicada postumamente em 1532. </w:t>
      </w:r>
      <w:r w:rsidRPr="003522FA">
        <w:rPr>
          <w:rFonts w:ascii="Arial" w:hAnsi="Arial" w:cs="Arial"/>
          <w:b w:val="0"/>
          <w:color w:val="auto"/>
          <w:sz w:val="24"/>
          <w:szCs w:val="24"/>
        </w:rPr>
        <w:t xml:space="preserve">Na verdade, este seu trabalho é tido por especialistas contemporâneos como um estudo ou um tratado completo sobre o poder.  Em </w:t>
      </w:r>
      <w:r w:rsidRPr="003522FA">
        <w:rPr>
          <w:rFonts w:ascii="Arial" w:hAnsi="Arial" w:cs="Arial"/>
          <w:b w:val="0"/>
          <w:i/>
          <w:color w:val="auto"/>
          <w:sz w:val="24"/>
          <w:szCs w:val="24"/>
        </w:rPr>
        <w:t>O Príncipe</w:t>
      </w:r>
      <w:r w:rsidRPr="003522FA">
        <w:rPr>
          <w:rFonts w:ascii="Arial" w:hAnsi="Arial" w:cs="Arial"/>
          <w:b w:val="0"/>
          <w:color w:val="auto"/>
          <w:sz w:val="24"/>
          <w:szCs w:val="24"/>
        </w:rPr>
        <w:t xml:space="preserve"> ele 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defendeu a centralização do poder político e não propriamente o absolutismo - uma teoria política que defende a retenção, por uma pessoa (em geral, um </w:t>
      </w:r>
      <w:hyperlink r:id="rId6" w:tooltip="Monarca" w:history="1">
        <w:r w:rsidRPr="003522FA">
          <w:rPr>
            <w:rStyle w:val="Hyperlink"/>
            <w:rFonts w:ascii="Arial" w:hAnsi="Arial" w:cs="Arial"/>
            <w:b w:val="0"/>
            <w:color w:val="auto"/>
            <w:sz w:val="24"/>
            <w:szCs w:val="24"/>
            <w:lang w:val="pt-PT"/>
          </w:rPr>
          <w:t>monarca</w:t>
        </w:r>
      </w:hyperlink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) do poder absoluto, </w:t>
      </w:r>
      <w:r w:rsidRPr="003522FA">
        <w:rPr>
          <w:rFonts w:ascii="Arial" w:hAnsi="Arial" w:cs="Arial"/>
          <w:b w:val="0"/>
          <w:iCs/>
          <w:color w:val="auto"/>
          <w:sz w:val="24"/>
          <w:szCs w:val="24"/>
          <w:lang w:val="pt-PT"/>
        </w:rPr>
        <w:t>independente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de outro órgão, seja ele judicial, legislativo, religioso ou eleitoral – como alguns pregam. Nesta obra, na realidade, ele defende o respeito aos direitos do povo e a ordem democrática participativa. Suas considerações e recomendações aos governantes sobre a melhor maneira de administrar o governo caracterizam a obra também como uma teoria do Estado moderno. Rigorosamente, trata-se de um dos tratados políticos mais fundamentais elaborados pelo pensamento humano, e que tem papel crucial na construção do conceito de Estado como modernamente conhecemos. No mesmo estilo do </w:t>
      </w:r>
      <w:r w:rsidRPr="003522FA">
        <w:rPr>
          <w:rFonts w:ascii="Arial" w:hAnsi="Arial" w:cs="Arial"/>
          <w:b w:val="0"/>
          <w:i/>
          <w:iCs/>
          <w:color w:val="auto"/>
          <w:sz w:val="24"/>
          <w:szCs w:val="24"/>
          <w:lang w:val="pt-PT"/>
        </w:rPr>
        <w:t>Institutio Principis Christiani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de Erasmo de Roterdã, descreve as maneiras de conduzir-se nos negócios 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lastRenderedPageBreak/>
        <w:t xml:space="preserve">públicos internos e externos e, fundamentalmente, como conquistar e manter um </w:t>
      </w:r>
      <w:r w:rsidRPr="003522FA">
        <w:rPr>
          <w:rFonts w:ascii="Arial" w:hAnsi="Arial" w:cs="Arial"/>
          <w:b w:val="0"/>
          <w:i/>
          <w:color w:val="auto"/>
          <w:sz w:val="24"/>
          <w:szCs w:val="24"/>
          <w:lang w:val="pt-PT"/>
        </w:rPr>
        <w:t>principado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>.</w:t>
      </w:r>
    </w:p>
    <w:p w:rsidR="001F29D1" w:rsidRPr="003522FA" w:rsidRDefault="001F29D1" w:rsidP="001F29D1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pt-BR"/>
        </w:rPr>
      </w:pPr>
    </w:p>
    <w:p w:rsidR="001F29D1" w:rsidRDefault="002D02B5" w:rsidP="00632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livro é iniciado</w:t>
      </w:r>
      <w:r w:rsidR="001F29D1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 a descrição</w:t>
      </w: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dois principais tipos de governo: as monarquias e as repúblicas</w:t>
      </w: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destacando-se a primeira como foco principal do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estudo. Os aspectos mais controversos da análise de Maquiavel aparecem claramente nos capítulos intermédios da obra. </w:t>
      </w: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Dentre eles, destacam-se a sobrevivência do soberano pelos grandes princípios morais, cuidando-se por não exagerar nas virtudes e não sobreviver pelo excesso de bondade; a divulgação e prática permanente de sua generosidade, cuidando-se para que seja sustentada pelo constante arrecadação de fundos junto aos seus súditos e inimigos; a reputação de severidade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na punição às pessoas do</w:t>
      </w: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a de magnânimo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defende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é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melhor ser temido do que amado; a argumentação de que 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governante deve saber ser dissimulado desde que isto sirva as suas intençõ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es, sendo esta uma das partes mais polêmicas do livro, pois também </w:t>
      </w:r>
      <w:proofErr w:type="gramStart"/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defende</w:t>
      </w:r>
      <w:proofErr w:type="gramEnd"/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soberano deve ser 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sempre dotado de pelo menos cinco virtudes: clemênci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a, benevolência, humanidade, re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tidão e religiosidade.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E, como destaque final, ensina que </w:t>
      </w:r>
      <w:r w:rsidR="001F29D1" w:rsidRPr="001F29D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príncipe deve evitar fazer</w:t>
      </w:r>
      <w:r w:rsidR="00632D73" w:rsidRPr="003522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coisas que o façam ser odiado, apesar de tudo.</w:t>
      </w:r>
      <w:r w:rsidR="006927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valor mais claro, identificado nesta obra de Maquiavel é a </w:t>
      </w:r>
      <w:proofErr w:type="spellStart"/>
      <w:r w:rsidR="0069271C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virtú</w:t>
      </w:r>
      <w:proofErr w:type="spellEnd"/>
      <w:r w:rsidR="006927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do latim </w:t>
      </w:r>
      <w:proofErr w:type="spellStart"/>
      <w:r w:rsidR="0069271C" w:rsidRPr="0069271C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>virtus</w:t>
      </w:r>
      <w:proofErr w:type="spellEnd"/>
      <w:r w:rsidR="006927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não no sentido de virtude, qualidade, mas no sentido latino </w:t>
      </w:r>
      <w:r w:rsidR="0069271C" w:rsidRPr="006927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</w:t>
      </w:r>
      <w:r w:rsidR="0069271C" w:rsidRPr="0069271C">
        <w:rPr>
          <w:rFonts w:ascii="Arial" w:hAnsi="Arial" w:cs="Arial"/>
          <w:sz w:val="24"/>
          <w:szCs w:val="24"/>
        </w:rPr>
        <w:t xml:space="preserve"> impor a sua vontade </w:t>
      </w:r>
      <w:r w:rsidR="0069271C">
        <w:rPr>
          <w:rFonts w:ascii="Arial" w:hAnsi="Arial" w:cs="Arial"/>
          <w:sz w:val="24"/>
          <w:szCs w:val="24"/>
        </w:rPr>
        <w:t xml:space="preserve">própria </w:t>
      </w:r>
      <w:r w:rsidR="0069271C" w:rsidRPr="0069271C">
        <w:rPr>
          <w:rFonts w:ascii="Arial" w:hAnsi="Arial" w:cs="Arial"/>
          <w:sz w:val="24"/>
          <w:szCs w:val="24"/>
        </w:rPr>
        <w:t>em situações difíceis.</w:t>
      </w:r>
    </w:p>
    <w:p w:rsidR="00146A60" w:rsidRDefault="00146A60" w:rsidP="00632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46A60" w:rsidRPr="008F3158" w:rsidRDefault="00146A60" w:rsidP="008F315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Um dos trechos mais conhecidos e comentados da obra é o da comparação que Maquiavel faz da fortuna com a mulher: “</w:t>
      </w:r>
      <w:proofErr w:type="spellStart"/>
      <w:proofErr w:type="gramStart"/>
      <w:r w:rsidRPr="00146A60">
        <w:rPr>
          <w:rFonts w:ascii="Arial" w:hAnsi="Arial" w:cs="Arial"/>
          <w:i/>
          <w:sz w:val="24"/>
          <w:szCs w:val="24"/>
        </w:rPr>
        <w:t>la</w:t>
      </w:r>
      <w:proofErr w:type="spellEnd"/>
      <w:proofErr w:type="gramEnd"/>
      <w:r w:rsidRPr="00146A60">
        <w:rPr>
          <w:rFonts w:ascii="Arial" w:hAnsi="Arial" w:cs="Arial"/>
          <w:i/>
          <w:sz w:val="24"/>
          <w:szCs w:val="24"/>
        </w:rPr>
        <w:t xml:space="preserve"> fortuna é </w:t>
      </w:r>
      <w:proofErr w:type="spellStart"/>
      <w:r w:rsidRPr="00146A60">
        <w:rPr>
          <w:rFonts w:ascii="Arial" w:hAnsi="Arial" w:cs="Arial"/>
          <w:i/>
          <w:sz w:val="24"/>
          <w:szCs w:val="24"/>
        </w:rPr>
        <w:t>donna</w:t>
      </w:r>
      <w:proofErr w:type="spellEnd"/>
      <w:r>
        <w:rPr>
          <w:rFonts w:ascii="Arial" w:hAnsi="Arial" w:cs="Arial"/>
          <w:sz w:val="24"/>
          <w:szCs w:val="24"/>
        </w:rPr>
        <w:t>”. Alude ao fato da prática, na época, do amor cortesão quando a mulher torna-se objeto de desejo</w:t>
      </w:r>
      <w:r w:rsidR="008F3158">
        <w:rPr>
          <w:rFonts w:ascii="Arial" w:hAnsi="Arial" w:cs="Arial"/>
          <w:sz w:val="24"/>
          <w:szCs w:val="24"/>
        </w:rPr>
        <w:t>, assim como a fortuna. Porém, o escritor recomenda ao soberano</w:t>
      </w:r>
      <w:r w:rsid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</w:t>
      </w:r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não corteje nem implore a fortuna</w:t>
      </w:r>
      <w:r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mas </w:t>
      </w:r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que </w:t>
      </w:r>
      <w:proofErr w:type="gramStart"/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agarre-a</w:t>
      </w:r>
      <w:proofErr w:type="gramEnd"/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virilmente e faça dela o que quiser</w:t>
      </w:r>
      <w:r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Esta passagem, escandalosa na época, representa uma</w:t>
      </w:r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interpretação</w:t>
      </w:r>
      <w:r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F3158"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óbvia</w:t>
      </w:r>
      <w:r w:rsidRPr="008F31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ideia renascentista do potencial humano aplicado à política. </w:t>
      </w:r>
    </w:p>
    <w:p w:rsidR="0069271C" w:rsidRDefault="0069271C" w:rsidP="00E50D3B">
      <w:pPr>
        <w:pStyle w:val="Legenda"/>
        <w:jc w:val="both"/>
        <w:rPr>
          <w:rFonts w:ascii="Arial" w:hAnsi="Arial" w:cs="Arial"/>
          <w:b w:val="0"/>
          <w:color w:val="auto"/>
          <w:sz w:val="24"/>
          <w:szCs w:val="24"/>
        </w:rPr>
      </w:pPr>
    </w:p>
    <w:p w:rsidR="00E50D3B" w:rsidRPr="003522FA" w:rsidRDefault="00E50D3B" w:rsidP="00E50D3B">
      <w:pPr>
        <w:pStyle w:val="Legenda"/>
        <w:jc w:val="both"/>
        <w:rPr>
          <w:rFonts w:ascii="Arial" w:hAnsi="Arial" w:cs="Arial"/>
          <w:b w:val="0"/>
          <w:color w:val="auto"/>
          <w:sz w:val="24"/>
          <w:szCs w:val="24"/>
          <w:lang w:val="pt-PT"/>
        </w:rPr>
      </w:pP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>Como renascentista Maquiavel utilizou</w:t>
      </w:r>
      <w:r w:rsidR="008F3158">
        <w:rPr>
          <w:rFonts w:ascii="Arial" w:hAnsi="Arial" w:cs="Arial"/>
          <w:b w:val="0"/>
          <w:color w:val="auto"/>
          <w:sz w:val="24"/>
          <w:szCs w:val="24"/>
          <w:lang w:val="pt-PT"/>
        </w:rPr>
        <w:t>-se também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de autores e conceitos da Antiguidade clássica de maneira inovadora. Um dos principais autores foi Tito Lívio - autor da obra histórica intitulada </w:t>
      </w:r>
      <w:r w:rsidRPr="003522FA">
        <w:rPr>
          <w:rFonts w:ascii="Arial" w:hAnsi="Arial" w:cs="Arial"/>
          <w:b w:val="0"/>
          <w:i/>
          <w:color w:val="auto"/>
          <w:sz w:val="24"/>
          <w:szCs w:val="24"/>
          <w:lang w:val="pt-PT"/>
        </w:rPr>
        <w:t>Ab urbe condita</w:t>
      </w:r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("Desde a fundação da cidade"), onde relata a história de Roma, da fundação ao início do </w:t>
      </w:r>
      <w:hyperlink r:id="rId7" w:tooltip="Século I" w:history="1">
        <w:r w:rsidRPr="003522FA">
          <w:rPr>
            <w:rStyle w:val="Hyperlink"/>
            <w:rFonts w:ascii="Arial" w:hAnsi="Arial" w:cs="Arial"/>
            <w:b w:val="0"/>
            <w:color w:val="auto"/>
            <w:sz w:val="24"/>
            <w:szCs w:val="24"/>
            <w:lang w:val="pt-PT"/>
          </w:rPr>
          <w:t>século I</w:t>
        </w:r>
      </w:hyperlink>
      <w:r w:rsidRPr="003522FA">
        <w:rPr>
          <w:rFonts w:ascii="Arial" w:hAnsi="Arial" w:cs="Arial"/>
          <w:b w:val="0"/>
          <w:color w:val="auto"/>
          <w:sz w:val="24"/>
          <w:szCs w:val="24"/>
          <w:lang w:val="pt-PT"/>
        </w:rPr>
        <w:t xml:space="preserve"> -, além de outros importantes escritos, através de traduções latinas</w:t>
      </w:r>
      <w:r w:rsidRPr="003522FA">
        <w:rPr>
          <w:rFonts w:ascii="Arial" w:hAnsi="Arial" w:cs="Arial"/>
          <w:b w:val="0"/>
          <w:color w:val="C00000"/>
          <w:sz w:val="24"/>
          <w:szCs w:val="24"/>
          <w:lang w:val="pt-PT"/>
        </w:rPr>
        <w:t>.</w:t>
      </w:r>
    </w:p>
    <w:p w:rsidR="00E50D3B" w:rsidRPr="003522FA" w:rsidRDefault="00E50D3B" w:rsidP="00E50D3B">
      <w:pPr>
        <w:pStyle w:val="NormalWeb"/>
        <w:jc w:val="both"/>
        <w:rPr>
          <w:rFonts w:ascii="Arial" w:hAnsi="Arial" w:cs="Arial"/>
          <w:iCs/>
          <w:lang w:val="pt-PT"/>
        </w:rPr>
      </w:pPr>
      <w:r w:rsidRPr="003522FA">
        <w:rPr>
          <w:rFonts w:ascii="Arial" w:hAnsi="Arial" w:cs="Arial"/>
          <w:lang w:val="pt-PT"/>
        </w:rPr>
        <w:t>Esta obra possui 26 capítulos, além da dedicatória a Lourenço de Médicis. Seu teor editorial inclui conselhos, sugestões e ponderações realizadas a partir de acontecimentos históricos na esfera política das principais cidades européias da época. Apesar de a famosa expressão “</w:t>
      </w:r>
      <w:r w:rsidRPr="003522FA">
        <w:rPr>
          <w:rFonts w:ascii="Arial" w:hAnsi="Arial" w:cs="Arial"/>
          <w:i/>
          <w:iCs/>
          <w:lang w:val="pt-PT"/>
        </w:rPr>
        <w:t>os fins justificam os meios”</w:t>
      </w:r>
      <w:r w:rsidRPr="003522FA">
        <w:rPr>
          <w:rFonts w:ascii="Arial" w:hAnsi="Arial" w:cs="Arial"/>
          <w:iCs/>
          <w:lang w:val="pt-PT"/>
        </w:rPr>
        <w:t xml:space="preserve">, atribuida a Maquiavel, não constar do texto, tornou-se uma interpretação tradicional do pensamento maquiavélico, o que leva o autor invariavelmente a ser acreditado erroneamente como incentivador do uso de qualquer recurso, lícito ou não, para o governante manter-se no poder. Muitos professores da área de administração empresarial fazem leituras deturpadas da obra inspirando pensamentos maléficos e errôneos de que empresas geridas sob a égide maquiavélica conseguem melhor prosperar no mercado. </w:t>
      </w:r>
    </w:p>
    <w:p w:rsidR="00E50D3B" w:rsidRDefault="00E50D3B" w:rsidP="00E50D3B">
      <w:pPr>
        <w:pStyle w:val="NormalWeb"/>
        <w:jc w:val="both"/>
        <w:rPr>
          <w:rFonts w:ascii="Arial" w:hAnsi="Arial" w:cs="Arial"/>
          <w:iCs/>
          <w:lang w:val="pt-PT"/>
        </w:rPr>
      </w:pPr>
      <w:r w:rsidRPr="003522FA">
        <w:rPr>
          <w:rFonts w:ascii="Arial" w:hAnsi="Arial" w:cs="Arial"/>
          <w:iCs/>
          <w:lang w:val="pt-PT"/>
        </w:rPr>
        <w:lastRenderedPageBreak/>
        <w:t xml:space="preserve">Maquiavel, na verdade, defende a democracia, o que, em nosso tempo, deve ser interpretado empresarialmente como o exercício pleno e legítimo do livre mercado. </w:t>
      </w:r>
    </w:p>
    <w:p w:rsidR="003522FA" w:rsidRDefault="003522FA" w:rsidP="00E50D3B">
      <w:pPr>
        <w:pStyle w:val="NormalWeb"/>
        <w:jc w:val="both"/>
        <w:rPr>
          <w:rFonts w:ascii="Arial" w:hAnsi="Arial" w:cs="Arial"/>
          <w:iCs/>
          <w:lang w:val="pt-PT"/>
        </w:rPr>
      </w:pPr>
    </w:p>
    <w:p w:rsidR="003522FA" w:rsidRPr="003522FA" w:rsidRDefault="003522FA" w:rsidP="00E50D3B">
      <w:pPr>
        <w:pStyle w:val="NormalWeb"/>
        <w:jc w:val="both"/>
        <w:rPr>
          <w:rFonts w:ascii="Arial" w:hAnsi="Arial" w:cs="Arial"/>
          <w:lang w:val="pt-PT"/>
        </w:rPr>
      </w:pPr>
    </w:p>
    <w:sectPr w:rsidR="003522FA" w:rsidRPr="003522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3B"/>
    <w:rsid w:val="00146A60"/>
    <w:rsid w:val="001F29D1"/>
    <w:rsid w:val="002D02B5"/>
    <w:rsid w:val="003522FA"/>
    <w:rsid w:val="00632D73"/>
    <w:rsid w:val="0069271C"/>
    <w:rsid w:val="008F3158"/>
    <w:rsid w:val="00B14496"/>
    <w:rsid w:val="00BC7E33"/>
    <w:rsid w:val="00E50D3B"/>
    <w:rsid w:val="00EE628E"/>
    <w:rsid w:val="00FD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D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unhideWhenUsed/>
    <w:qFormat/>
    <w:rsid w:val="00E50D3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E50D3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5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D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unhideWhenUsed/>
    <w:qFormat/>
    <w:rsid w:val="00E50D3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E50D3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5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t.wikipedia.org/wiki/S%C3%A9culo_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t.wikipedia.org/wiki/Monarc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973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3</cp:revision>
  <dcterms:created xsi:type="dcterms:W3CDTF">2011-08-07T15:45:00Z</dcterms:created>
  <dcterms:modified xsi:type="dcterms:W3CDTF">2011-08-17T00:59:00Z</dcterms:modified>
</cp:coreProperties>
</file>